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F5C4" w14:textId="63A98295" w:rsidR="00833709" w:rsidRPr="00AC3CD2" w:rsidRDefault="00833709" w:rsidP="00833709">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21bis-e</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00920D96" w:rsidRPr="00920D96">
        <w:rPr>
          <w:rFonts w:eastAsiaTheme="minorHAnsi" w:cs="Arial"/>
          <w:b/>
          <w:bCs/>
          <w:sz w:val="24"/>
          <w:szCs w:val="24"/>
          <w:lang w:val="en-US"/>
        </w:rPr>
        <w:t>R2-230371</w:t>
      </w:r>
      <w:r w:rsidR="00920D96">
        <w:rPr>
          <w:rFonts w:eastAsiaTheme="minorHAnsi" w:cs="Arial"/>
          <w:b/>
          <w:bCs/>
          <w:sz w:val="24"/>
          <w:szCs w:val="24"/>
          <w:lang w:val="en-US"/>
        </w:rPr>
        <w:t>6</w:t>
      </w:r>
    </w:p>
    <w:p w14:paraId="4D6640C9" w14:textId="7548DE20" w:rsidR="00833709" w:rsidRPr="00AC3CD2" w:rsidRDefault="00833709" w:rsidP="00833709">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17</w:t>
      </w:r>
      <w:r w:rsidRPr="00920D96">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26</w:t>
      </w:r>
      <w:r w:rsidRPr="00920D96">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April</w:t>
      </w:r>
      <w:r w:rsidRPr="00AC3CD2">
        <w:rPr>
          <w:rFonts w:eastAsiaTheme="minorEastAsia" w:cs="Arial"/>
          <w:b/>
          <w:bCs/>
          <w:sz w:val="24"/>
          <w:szCs w:val="24"/>
          <w:lang w:val="en-US" w:eastAsia="ko-KR"/>
        </w:rPr>
        <w:t>, 202</w:t>
      </w:r>
      <w:r>
        <w:rPr>
          <w:rFonts w:eastAsiaTheme="minorEastAsia" w:cs="Arial"/>
          <w:b/>
          <w:bCs/>
          <w:sz w:val="24"/>
          <w:szCs w:val="24"/>
          <w:lang w:val="en-US" w:eastAsia="ko-KR"/>
        </w:rPr>
        <w:t>3</w:t>
      </w:r>
    </w:p>
    <w:p w14:paraId="6584FA6E" w14:textId="77777777" w:rsidR="00E06B61" w:rsidRPr="00AC3CD2" w:rsidRDefault="00E06B61" w:rsidP="00E06B61">
      <w:pPr>
        <w:pStyle w:val="CRCoverPage"/>
        <w:tabs>
          <w:tab w:val="left" w:pos="1980"/>
        </w:tabs>
        <w:spacing w:line="259" w:lineRule="auto"/>
        <w:jc w:val="both"/>
        <w:rPr>
          <w:rFonts w:cs="Arial"/>
          <w:b/>
          <w:bCs/>
          <w:sz w:val="24"/>
          <w:szCs w:val="24"/>
          <w:lang w:val="en-US"/>
        </w:rPr>
      </w:pPr>
    </w:p>
    <w:p w14:paraId="39883C2E" w14:textId="077E659F" w:rsidR="00E06B61" w:rsidRPr="00AC3CD2" w:rsidRDefault="00E06B61" w:rsidP="00E06B61">
      <w:pPr>
        <w:pStyle w:val="CRCoverPage"/>
        <w:tabs>
          <w:tab w:val="left" w:pos="1980"/>
        </w:tabs>
        <w:spacing w:line="259" w:lineRule="auto"/>
        <w:jc w:val="both"/>
        <w:rPr>
          <w:rFonts w:cs="Arial"/>
          <w:b/>
          <w:bCs/>
          <w:sz w:val="24"/>
          <w:szCs w:val="24"/>
          <w:lang w:val="en-US" w:eastAsia="ja-JP"/>
        </w:rPr>
      </w:pPr>
      <w:r w:rsidRPr="00AC3CD2">
        <w:rPr>
          <w:rFonts w:cs="Arial"/>
          <w:b/>
          <w:bCs/>
          <w:sz w:val="24"/>
          <w:szCs w:val="24"/>
          <w:lang w:val="en-US"/>
        </w:rPr>
        <w:t>Agenda Item:</w:t>
      </w:r>
      <w:r w:rsidRPr="00AC3CD2">
        <w:rPr>
          <w:rFonts w:cs="Arial"/>
          <w:b/>
          <w:bCs/>
          <w:sz w:val="24"/>
          <w:szCs w:val="24"/>
          <w:lang w:val="en-US"/>
        </w:rPr>
        <w:tab/>
      </w:r>
      <w:r w:rsidR="00833709">
        <w:rPr>
          <w:rFonts w:cs="Arial"/>
          <w:b/>
          <w:bCs/>
          <w:sz w:val="24"/>
          <w:szCs w:val="24"/>
          <w:lang w:val="en-US"/>
        </w:rPr>
        <w:t>7</w:t>
      </w:r>
      <w:r w:rsidR="00387E49" w:rsidRPr="00AC3CD2">
        <w:rPr>
          <w:rFonts w:cs="Arial"/>
          <w:b/>
          <w:bCs/>
          <w:sz w:val="24"/>
          <w:szCs w:val="24"/>
          <w:lang w:val="en-US"/>
        </w:rPr>
        <w:t>.</w:t>
      </w:r>
      <w:r w:rsidR="00465087" w:rsidRPr="00AC3CD2">
        <w:rPr>
          <w:rFonts w:cs="Arial"/>
          <w:b/>
          <w:bCs/>
          <w:sz w:val="24"/>
          <w:szCs w:val="24"/>
          <w:lang w:val="en-US"/>
        </w:rPr>
        <w:t>6.</w:t>
      </w:r>
      <w:r w:rsidR="000A2454">
        <w:rPr>
          <w:rFonts w:cs="Arial"/>
          <w:b/>
          <w:bCs/>
          <w:sz w:val="24"/>
          <w:szCs w:val="24"/>
          <w:lang w:val="en-US"/>
        </w:rPr>
        <w:t>4</w:t>
      </w:r>
    </w:p>
    <w:p w14:paraId="3A7991F8" w14:textId="77777777" w:rsidR="00E06B61" w:rsidRPr="00AC3CD2" w:rsidRDefault="00E06B61" w:rsidP="00E06B61">
      <w:pPr>
        <w:tabs>
          <w:tab w:val="left" w:pos="1985"/>
        </w:tabs>
        <w:rPr>
          <w:rFonts w:ascii="Arial" w:hAnsi="Arial" w:cs="Arial"/>
          <w:bCs/>
          <w:sz w:val="24"/>
          <w:szCs w:val="24"/>
        </w:rPr>
      </w:pPr>
      <w:r w:rsidRPr="00AC3CD2">
        <w:rPr>
          <w:rFonts w:ascii="Arial" w:hAnsi="Arial" w:cs="Arial"/>
          <w:b/>
          <w:bCs/>
          <w:sz w:val="24"/>
          <w:szCs w:val="24"/>
        </w:rPr>
        <w:t>Source:</w:t>
      </w:r>
      <w:r w:rsidRPr="00AC3CD2">
        <w:rPr>
          <w:rFonts w:ascii="Arial" w:hAnsi="Arial" w:cs="Arial"/>
          <w:b/>
          <w:bCs/>
          <w:sz w:val="24"/>
          <w:szCs w:val="24"/>
        </w:rPr>
        <w:tab/>
        <w:t>InterDigital, Inc.</w:t>
      </w:r>
    </w:p>
    <w:p w14:paraId="64E1A817" w14:textId="3C75561C"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Title:</w:t>
      </w:r>
      <w:r w:rsidRPr="00AC3CD2">
        <w:rPr>
          <w:rFonts w:ascii="Arial" w:hAnsi="Arial" w:cs="Arial"/>
          <w:b/>
          <w:bCs/>
          <w:sz w:val="24"/>
          <w:szCs w:val="24"/>
        </w:rPr>
        <w:tab/>
      </w:r>
      <w:r w:rsidR="00465087" w:rsidRPr="00AC3CD2">
        <w:rPr>
          <w:rFonts w:ascii="Arial" w:hAnsi="Arial" w:cs="Arial"/>
          <w:b/>
          <w:bCs/>
          <w:sz w:val="24"/>
          <w:szCs w:val="24"/>
        </w:rPr>
        <w:t>IoT-NTN</w:t>
      </w:r>
      <w:r w:rsidR="00FE1F7F" w:rsidRPr="00AC3CD2">
        <w:rPr>
          <w:rFonts w:ascii="Arial" w:hAnsi="Arial" w:cs="Arial"/>
          <w:b/>
          <w:bCs/>
          <w:sz w:val="24"/>
          <w:szCs w:val="24"/>
        </w:rPr>
        <w:t xml:space="preserve"> </w:t>
      </w:r>
      <w:r w:rsidR="00FE1836">
        <w:rPr>
          <w:rFonts w:ascii="Arial" w:hAnsi="Arial" w:cs="Arial"/>
          <w:b/>
          <w:bCs/>
          <w:sz w:val="24"/>
          <w:szCs w:val="24"/>
        </w:rPr>
        <w:t>discontinuous coverage</w:t>
      </w:r>
      <w:r w:rsidR="00FE1F7F" w:rsidRPr="00AC3CD2">
        <w:rPr>
          <w:rFonts w:ascii="Arial" w:hAnsi="Arial" w:cs="Arial"/>
          <w:b/>
          <w:bCs/>
          <w:sz w:val="24"/>
          <w:szCs w:val="24"/>
        </w:rPr>
        <w:t xml:space="preserve"> enhancements</w:t>
      </w:r>
      <w:r w:rsidR="004D2E3F" w:rsidRPr="00AC3CD2">
        <w:rPr>
          <w:rFonts w:ascii="Arial" w:hAnsi="Arial" w:cs="Arial"/>
          <w:b/>
          <w:bCs/>
          <w:sz w:val="24"/>
          <w:szCs w:val="24"/>
        </w:rPr>
        <w:t>.</w:t>
      </w:r>
    </w:p>
    <w:p w14:paraId="3FFA61C2" w14:textId="77777777"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Document for:</w:t>
      </w:r>
      <w:r w:rsidRPr="00AC3CD2">
        <w:rPr>
          <w:rFonts w:ascii="Arial" w:hAnsi="Arial" w:cs="Arial"/>
          <w:b/>
          <w:bCs/>
          <w:sz w:val="24"/>
          <w:szCs w:val="24"/>
        </w:rPr>
        <w:tab/>
        <w:t>Discussion</w:t>
      </w:r>
    </w:p>
    <w:p w14:paraId="03851C6F" w14:textId="7A016DF2" w:rsidR="00E06B61" w:rsidRPr="00AC3CD2"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Introduction</w:t>
      </w:r>
    </w:p>
    <w:p w14:paraId="36477409" w14:textId="44F2CED5" w:rsidR="00091528" w:rsidRPr="00AC3CD2" w:rsidRDefault="00D80ED7" w:rsidP="00E06B61">
      <w:pPr>
        <w:jc w:val="both"/>
        <w:rPr>
          <w:rFonts w:ascii="Arial" w:hAnsi="Arial" w:cs="Arial"/>
          <w:lang w:val="en-US"/>
        </w:rPr>
      </w:pPr>
      <w:r w:rsidRPr="00AC3CD2">
        <w:rPr>
          <w:rFonts w:ascii="Arial" w:hAnsi="Arial" w:cs="Arial"/>
          <w:lang w:val="en-US"/>
        </w:rPr>
        <w:t xml:space="preserve">The WI on </w:t>
      </w:r>
      <w:r w:rsidR="003D5E8E" w:rsidRPr="00AC3CD2">
        <w:rPr>
          <w:rFonts w:ascii="Arial" w:hAnsi="Arial" w:cs="Arial"/>
          <w:lang w:val="en-US"/>
        </w:rPr>
        <w:t xml:space="preserve">IoT NTN enhancements </w:t>
      </w:r>
      <w:r w:rsidR="005A63F0" w:rsidRPr="00AC3CD2">
        <w:rPr>
          <w:rFonts w:ascii="Arial" w:hAnsi="Arial" w:cs="Arial"/>
          <w:lang w:val="en-US"/>
        </w:rPr>
        <w:fldChar w:fldCharType="begin"/>
      </w:r>
      <w:r w:rsidR="005A63F0" w:rsidRPr="00AC3CD2">
        <w:rPr>
          <w:rFonts w:ascii="Arial" w:hAnsi="Arial" w:cs="Arial"/>
          <w:lang w:val="en-US"/>
        </w:rPr>
        <w:instrText xml:space="preserve"> REF _Ref110867306 \r \h </w:instrText>
      </w:r>
      <w:r w:rsidR="00AC3CD2">
        <w:rPr>
          <w:rFonts w:ascii="Arial" w:hAnsi="Arial" w:cs="Arial"/>
          <w:lang w:val="en-US"/>
        </w:rPr>
        <w:instrText xml:space="preserve"> \* MERGEFORMAT </w:instrText>
      </w:r>
      <w:r w:rsidR="005A63F0" w:rsidRPr="00AC3CD2">
        <w:rPr>
          <w:rFonts w:ascii="Arial" w:hAnsi="Arial" w:cs="Arial"/>
          <w:lang w:val="en-US"/>
        </w:rPr>
      </w:r>
      <w:r w:rsidR="005A63F0" w:rsidRPr="00AC3CD2">
        <w:rPr>
          <w:rFonts w:ascii="Arial" w:hAnsi="Arial" w:cs="Arial"/>
          <w:lang w:val="en-US"/>
        </w:rPr>
        <w:fldChar w:fldCharType="separate"/>
      </w:r>
      <w:r w:rsidR="005A63F0" w:rsidRPr="00AC3CD2">
        <w:rPr>
          <w:rFonts w:ascii="Arial" w:hAnsi="Arial" w:cs="Arial"/>
          <w:lang w:val="en-US"/>
        </w:rPr>
        <w:t>[1]</w:t>
      </w:r>
      <w:r w:rsidR="005A63F0" w:rsidRPr="00AC3CD2">
        <w:rPr>
          <w:rFonts w:ascii="Arial" w:hAnsi="Arial" w:cs="Arial"/>
          <w:lang w:val="en-US"/>
        </w:rPr>
        <w:fldChar w:fldCharType="end"/>
      </w:r>
      <w:r w:rsidRPr="00AC3CD2">
        <w:rPr>
          <w:rFonts w:ascii="Arial" w:hAnsi="Arial" w:cs="Arial"/>
          <w:lang w:val="en-US"/>
        </w:rPr>
        <w:t xml:space="preserve"> includes the</w:t>
      </w:r>
      <w:r w:rsidR="005A63F0" w:rsidRPr="00AC3CD2">
        <w:rPr>
          <w:rFonts w:ascii="Arial" w:hAnsi="Arial" w:cs="Arial"/>
          <w:lang w:val="en-US"/>
        </w:rPr>
        <w:t xml:space="preserve"> </w:t>
      </w:r>
      <w:r w:rsidRPr="00AC3CD2">
        <w:rPr>
          <w:rFonts w:ascii="Arial" w:hAnsi="Arial" w:cs="Arial"/>
          <w:lang w:val="en-US"/>
        </w:rPr>
        <w:t xml:space="preserve">following objectives for </w:t>
      </w:r>
      <w:r w:rsidR="007B7AD2">
        <w:rPr>
          <w:rFonts w:ascii="Arial" w:hAnsi="Arial" w:cs="Arial"/>
          <w:lang w:val="en-US"/>
        </w:rPr>
        <w:t>discontinuous coverage</w:t>
      </w:r>
      <w:r w:rsidR="003D5E8E" w:rsidRPr="00AC3CD2">
        <w:rPr>
          <w:rFonts w:ascii="Arial" w:hAnsi="Arial" w:cs="Arial"/>
          <w:lang w:val="en-US"/>
        </w:rPr>
        <w:t xml:space="preserve"> enhancement</w:t>
      </w:r>
      <w:r w:rsidR="005A63F0" w:rsidRPr="00AC3CD2">
        <w:rPr>
          <w:rFonts w:ascii="Arial" w:hAnsi="Arial" w:cs="Arial"/>
          <w:lang w:val="en-US"/>
        </w:rPr>
        <w:t>:</w:t>
      </w:r>
      <w:r w:rsidRPr="00AC3CD2">
        <w:rPr>
          <w:rFonts w:ascii="Arial" w:hAnsi="Arial" w:cs="Arial"/>
          <w:lang w:val="en-US"/>
        </w:rPr>
        <w:t xml:space="preserve"> </w:t>
      </w:r>
    </w:p>
    <w:p w14:paraId="67F4B437" w14:textId="44C72437" w:rsidR="00D80ED7" w:rsidRPr="00AC3CD2" w:rsidRDefault="00D80ED7" w:rsidP="00E06B61">
      <w:pPr>
        <w:jc w:val="both"/>
        <w:rPr>
          <w:rFonts w:ascii="Arial" w:hAnsi="Arial" w:cs="Arial"/>
          <w:lang w:val="en-US"/>
        </w:rPr>
      </w:pPr>
    </w:p>
    <w:tbl>
      <w:tblPr>
        <w:tblStyle w:val="TableGrid"/>
        <w:tblW w:w="0" w:type="auto"/>
        <w:tblLook w:val="04A0" w:firstRow="1" w:lastRow="0" w:firstColumn="1" w:lastColumn="0" w:noHBand="0" w:noVBand="1"/>
      </w:tblPr>
      <w:tblGrid>
        <w:gridCol w:w="9629"/>
      </w:tblGrid>
      <w:tr w:rsidR="00B64ACB" w:rsidRPr="00AC3CD2" w14:paraId="7EB198DC" w14:textId="77777777" w:rsidTr="008956FD">
        <w:tc>
          <w:tcPr>
            <w:tcW w:w="9629" w:type="dxa"/>
          </w:tcPr>
          <w:p w14:paraId="192F826B" w14:textId="53075E20" w:rsidR="00E6670F" w:rsidRDefault="00E6670F" w:rsidP="00E6670F">
            <w:r w:rsidRPr="00756D29">
              <w:t>4.1.3</w:t>
            </w:r>
            <w:r w:rsidRPr="00756D29">
              <w:tab/>
              <w:t>Further enhancement to discontinuous coverage</w:t>
            </w:r>
          </w:p>
          <w:p w14:paraId="6215F053" w14:textId="60C27076" w:rsidR="00B64ACB" w:rsidRPr="007B7AD2" w:rsidRDefault="00E6670F" w:rsidP="00542BEB">
            <w:pPr>
              <w:pStyle w:val="B1"/>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3B53B6E3" w14:textId="77777777" w:rsidR="008956FD" w:rsidRDefault="008956FD" w:rsidP="008956FD">
      <w:pPr>
        <w:jc w:val="both"/>
        <w:rPr>
          <w:rFonts w:ascii="Arial" w:hAnsi="Arial" w:cs="Arial"/>
          <w:lang w:val="en-US"/>
        </w:rPr>
      </w:pPr>
    </w:p>
    <w:p w14:paraId="159BFB08" w14:textId="77777777" w:rsidR="008956FD" w:rsidRDefault="008956FD" w:rsidP="008956FD">
      <w:pPr>
        <w:jc w:val="both"/>
        <w:rPr>
          <w:rFonts w:ascii="Arial" w:hAnsi="Arial" w:cs="Arial"/>
          <w:lang w:val="en-US"/>
        </w:rPr>
      </w:pPr>
      <w:r>
        <w:rPr>
          <w:rFonts w:ascii="Arial" w:hAnsi="Arial" w:cs="Arial"/>
          <w:lang w:val="en-US"/>
        </w:rPr>
        <w:t xml:space="preserve">The relevant conclusions from the SA2 study </w:t>
      </w:r>
      <w:r>
        <w:rPr>
          <w:rFonts w:ascii="Arial" w:hAnsi="Arial" w:cs="Arial"/>
          <w:lang w:val="en-US"/>
        </w:rPr>
        <w:fldChar w:fldCharType="begin"/>
      </w:r>
      <w:r>
        <w:rPr>
          <w:rFonts w:ascii="Arial" w:hAnsi="Arial" w:cs="Arial"/>
          <w:lang w:val="en-US"/>
        </w:rPr>
        <w:instrText xml:space="preserve"> REF _Ref127365523 \r \h </w:instrText>
      </w:r>
      <w:r>
        <w:rPr>
          <w:rFonts w:ascii="Arial" w:hAnsi="Arial" w:cs="Arial"/>
          <w:lang w:val="en-US"/>
        </w:rPr>
      </w:r>
      <w:r>
        <w:rPr>
          <w:rFonts w:ascii="Arial" w:hAnsi="Arial" w:cs="Arial"/>
          <w:lang w:val="en-US"/>
        </w:rPr>
        <w:fldChar w:fldCharType="separate"/>
      </w:r>
      <w:r>
        <w:rPr>
          <w:rFonts w:ascii="Arial" w:hAnsi="Arial" w:cs="Arial"/>
          <w:lang w:val="en-US"/>
        </w:rPr>
        <w:t>[2]</w:t>
      </w:r>
      <w:r>
        <w:rPr>
          <w:rFonts w:ascii="Arial" w:hAnsi="Arial" w:cs="Arial"/>
          <w:lang w:val="en-US"/>
        </w:rPr>
        <w:fldChar w:fldCharType="end"/>
      </w:r>
      <w:r>
        <w:rPr>
          <w:rFonts w:ascii="Arial" w:hAnsi="Arial" w:cs="Arial"/>
          <w:lang w:val="en-US"/>
        </w:rPr>
        <w:t xml:space="preserve"> are as follows:</w:t>
      </w:r>
    </w:p>
    <w:tbl>
      <w:tblPr>
        <w:tblStyle w:val="TableGrid"/>
        <w:tblW w:w="0" w:type="auto"/>
        <w:tblLook w:val="04A0" w:firstRow="1" w:lastRow="0" w:firstColumn="1" w:lastColumn="0" w:noHBand="0" w:noVBand="1"/>
      </w:tblPr>
      <w:tblGrid>
        <w:gridCol w:w="9629"/>
      </w:tblGrid>
      <w:tr w:rsidR="008956FD" w14:paraId="4B89852D" w14:textId="77777777" w:rsidTr="00A270E2">
        <w:tc>
          <w:tcPr>
            <w:tcW w:w="9629" w:type="dxa"/>
          </w:tcPr>
          <w:p w14:paraId="1BFA3035" w14:textId="77777777" w:rsidR="008956FD" w:rsidRPr="0058712B" w:rsidRDefault="008956FD" w:rsidP="00A270E2">
            <w:pPr>
              <w:pStyle w:val="Heading2"/>
            </w:pPr>
            <w:bookmarkStart w:id="0" w:name="_Toc122506183"/>
            <w:r>
              <w:t>8.1</w:t>
            </w:r>
            <w:r>
              <w:tab/>
            </w:r>
            <w:r w:rsidRPr="0058712B">
              <w:t>Conclusion on general mobility management and/or power saving</w:t>
            </w:r>
            <w:bookmarkEnd w:id="0"/>
          </w:p>
          <w:p w14:paraId="681833F9" w14:textId="77777777" w:rsidR="008956FD" w:rsidRDefault="008956FD" w:rsidP="00A270E2">
            <w:r>
              <w:t>The conclusions for solutions to the requirements R1, R2 for KI#1 and R5 and R6 for KI#2 are the following:</w:t>
            </w:r>
          </w:p>
          <w:p w14:paraId="038EC5AE" w14:textId="77777777" w:rsidR="008956FD" w:rsidRDefault="008956FD" w:rsidP="00A270E2">
            <w:r>
              <w:t>Principles of system behaviour:</w:t>
            </w:r>
          </w:p>
          <w:p w14:paraId="17425F1B" w14:textId="77777777" w:rsidR="008956FD" w:rsidRDefault="008956FD" w:rsidP="00A270E2">
            <w:pPr>
              <w:pStyle w:val="B1"/>
            </w:pPr>
            <w:r>
              <w:t>-</w:t>
            </w:r>
            <w:r>
              <w:tab/>
              <w:t>NTN MEO/LEO satellite or satellite constellation that provides discontinuous coverage is considered as the satellite access in 5GS and EPS for the power saving enhancement and UE unreachability period can be provided to both the UE and AMF/MME.</w:t>
            </w:r>
          </w:p>
          <w:p w14:paraId="68475FCE" w14:textId="77777777" w:rsidR="008956FD" w:rsidRDefault="008956FD" w:rsidP="00A270E2">
            <w:pPr>
              <w:pStyle w:val="B1"/>
            </w:pPr>
            <w:r>
              <w:t>-</w:t>
            </w:r>
            <w:r>
              <w:tab/>
              <w:t>UE unreachability period provided to the UE and/or AMF/MME shall include either timing information when UE moves out/in of NTN coverage or information on satellite coverage at current and potential future locations of the UE.</w:t>
            </w:r>
          </w:p>
          <w:p w14:paraId="1533493D" w14:textId="77777777" w:rsidR="008956FD" w:rsidRDefault="008956FD" w:rsidP="00A270E2">
            <w:pPr>
              <w:pStyle w:val="B1"/>
            </w:pPr>
            <w:r>
              <w:t>-</w:t>
            </w:r>
            <w:r>
              <w:tab/>
              <w:t>Both network centric and UE centric procedures are used to determine and coordinate the UE unreachability period. These two approaches are not mutually exclusive, they serve different use cases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w:t>
            </w:r>
          </w:p>
          <w:p w14:paraId="6B8D761C" w14:textId="77777777" w:rsidR="008956FD" w:rsidRDefault="008956FD" w:rsidP="00A270E2">
            <w:r>
              <w:t>AMF/MME information retrieval:</w:t>
            </w:r>
          </w:p>
          <w:p w14:paraId="2CF8FEEB" w14:textId="77777777" w:rsidR="008956FD" w:rsidRDefault="008956FD" w:rsidP="00A270E2">
            <w:pPr>
              <w:pStyle w:val="B1"/>
            </w:pPr>
            <w:r>
              <w:t>-</w:t>
            </w:r>
            <w:r>
              <w:tab/>
              <w:t>AMF/MME shall not determine UE unreachability period based on satellite orbit data by itself. The AMF/MME receives UE unreachability period to be used for setting up the power saving parameters or handling mobility management of NTN UE.</w:t>
            </w:r>
          </w:p>
          <w:p w14:paraId="675842D4" w14:textId="77777777" w:rsidR="008956FD" w:rsidRDefault="008956FD" w:rsidP="00A270E2">
            <w:pPr>
              <w:pStyle w:val="B1"/>
            </w:pPr>
            <w:r>
              <w:t>-</w:t>
            </w:r>
            <w:r>
              <w:tab/>
              <w:t>AMF/MME obtains UE unreachability period information (timing information when UE moves out/in of NTN coverage) from an AF via the NEF/SCEF, from the UE or from OAM. The AMF/MME also takes into account UE location/mobility/trajectory information.</w:t>
            </w:r>
          </w:p>
          <w:p w14:paraId="4008A777" w14:textId="77777777" w:rsidR="008956FD" w:rsidRDefault="008956FD" w:rsidP="00A270E2">
            <w:r>
              <w:t>The role of AMF/MME:</w:t>
            </w:r>
          </w:p>
          <w:p w14:paraId="270D6204" w14:textId="77777777" w:rsidR="008956FD" w:rsidRDefault="008956FD" w:rsidP="00A270E2">
            <w:pPr>
              <w:pStyle w:val="B1"/>
            </w:pPr>
            <w:r>
              <w:t>-</w:t>
            </w:r>
            <w:r>
              <w:tab/>
              <w:t>The AMF/MME configures the UEs mobility management and Power saving mode (PSM) parameters and sends the MICO/PSM parameters to UE before the satellite discontinuous coverage starts.</w:t>
            </w:r>
          </w:p>
          <w:p w14:paraId="4775E881" w14:textId="77777777" w:rsidR="008956FD" w:rsidRDefault="008956FD" w:rsidP="00A270E2">
            <w:pPr>
              <w:pStyle w:val="B1"/>
            </w:pPr>
            <w:r>
              <w:t>-</w:t>
            </w:r>
            <w:r>
              <w:tab/>
              <w:t>Takes into account the UE unreachability period in order to make sure the UE is in power saving mode if it is leaving network coverage, to avoid attempting to page the UE during this time and that the UE need not initiate NAS procedures excessively frequently compared to the Expected UE behavior, if known by the AMF/MME.</w:t>
            </w:r>
          </w:p>
          <w:p w14:paraId="1165676C" w14:textId="77777777" w:rsidR="008956FD" w:rsidRDefault="008956FD" w:rsidP="00A270E2">
            <w:pPr>
              <w:pStyle w:val="B1"/>
            </w:pPr>
            <w:r>
              <w:t>-</w:t>
            </w:r>
            <w:r>
              <w:tab/>
              <w:t>The mobility management and MICO/PSM parameters include:</w:t>
            </w:r>
          </w:p>
          <w:p w14:paraId="7A3D4371" w14:textId="77777777" w:rsidR="008956FD" w:rsidRDefault="008956FD" w:rsidP="00A270E2">
            <w:pPr>
              <w:pStyle w:val="B2"/>
            </w:pPr>
            <w:r>
              <w:t>-</w:t>
            </w:r>
            <w:r>
              <w:tab/>
              <w:t>Periodic registration update timer / Periodic TAU Timer,</w:t>
            </w:r>
          </w:p>
          <w:p w14:paraId="1B514282" w14:textId="77777777" w:rsidR="008956FD" w:rsidRDefault="008956FD" w:rsidP="00A270E2">
            <w:pPr>
              <w:pStyle w:val="B2"/>
            </w:pPr>
            <w:r>
              <w:t>-</w:t>
            </w:r>
            <w:r>
              <w:tab/>
              <w:t>MICO mode with optional Active Time and PS,</w:t>
            </w:r>
          </w:p>
          <w:p w14:paraId="177143D4" w14:textId="77777777" w:rsidR="008956FD" w:rsidRDefault="008956FD" w:rsidP="00A270E2">
            <w:pPr>
              <w:pStyle w:val="B2"/>
            </w:pPr>
            <w:r>
              <w:t>-</w:t>
            </w:r>
            <w:r>
              <w:tab/>
              <w:t>MICO mode with Extended Connected time (only for AMF case),</w:t>
            </w:r>
          </w:p>
          <w:p w14:paraId="6F43E43E" w14:textId="77777777" w:rsidR="008956FD" w:rsidRDefault="008956FD" w:rsidP="00A270E2">
            <w:pPr>
              <w:pStyle w:val="B2"/>
            </w:pPr>
            <w:r>
              <w:t>-</w:t>
            </w:r>
            <w:r>
              <w:tab/>
              <w:t>eDRX parameters.</w:t>
            </w:r>
          </w:p>
          <w:p w14:paraId="1A9822A0" w14:textId="77777777" w:rsidR="008956FD" w:rsidRDefault="008956FD" w:rsidP="00A270E2">
            <w:pPr>
              <w:pStyle w:val="B1"/>
            </w:pPr>
            <w:r>
              <w:t>-</w:t>
            </w:r>
            <w:r>
              <w:tab/>
              <w:t>AMF/MME takes the Tracking Area reported by RAN before AN release as the paging area.</w:t>
            </w:r>
          </w:p>
          <w:p w14:paraId="59751097" w14:textId="77777777" w:rsidR="008956FD" w:rsidRDefault="008956FD" w:rsidP="00A270E2">
            <w:pPr>
              <w:pStyle w:val="B1"/>
            </w:pPr>
            <w:r>
              <w:t>-</w:t>
            </w:r>
            <w:r>
              <w:tab/>
              <w:t>The AMF/MME sets an implicit detach timer based on the UE unreachability period information to avoid de-registering or detaching the UE when it is in discontinuous coverage.</w:t>
            </w:r>
          </w:p>
          <w:p w14:paraId="7B0A6118" w14:textId="77777777" w:rsidR="008956FD" w:rsidRDefault="008956FD" w:rsidP="00A270E2">
            <w:pPr>
              <w:pStyle w:val="NO"/>
            </w:pPr>
            <w:r>
              <w:t>NOTE:</w:t>
            </w:r>
            <w:r>
              <w:tab/>
              <w:t>Whether the UE can be in CM-connected with RRC inactive and the AN release procedure is needed when there is no satellite coverage can be discussed during the normative phase.</w:t>
            </w:r>
          </w:p>
          <w:p w14:paraId="583BD9AB" w14:textId="77777777" w:rsidR="008956FD" w:rsidRDefault="008956FD" w:rsidP="00A270E2">
            <w:pPr>
              <w:pStyle w:val="B1"/>
            </w:pPr>
            <w:r>
              <w:t>-</w:t>
            </w:r>
            <w:r>
              <w:tab/>
              <w:t>Optionally, AMF can provide a backoff timer to prevent the UE from sending MO data/signalling while out of coverage.</w:t>
            </w:r>
          </w:p>
          <w:p w14:paraId="0B1A4A05" w14:textId="77777777" w:rsidR="008956FD" w:rsidRDefault="008956FD" w:rsidP="00A270E2">
            <w:pPr>
              <w:pStyle w:val="B1"/>
            </w:pPr>
            <w:r>
              <w:t>-</w:t>
            </w:r>
            <w:r>
              <w:tab/>
              <w:t>Request the UE to inform AMF/MME about when UE unreachability periods begin and end.</w:t>
            </w:r>
          </w:p>
          <w:p w14:paraId="0A964D94" w14:textId="77777777" w:rsidR="008956FD" w:rsidRDefault="008956FD" w:rsidP="00A270E2">
            <w:r>
              <w:t>Regarding which information UE has and how UE retrieves it:</w:t>
            </w:r>
          </w:p>
          <w:p w14:paraId="432ADD3D" w14:textId="77777777" w:rsidR="008956FD" w:rsidRDefault="008956FD" w:rsidP="00A270E2">
            <w:pPr>
              <w:pStyle w:val="B1"/>
            </w:pPr>
            <w:r>
              <w:t>-</w:t>
            </w:r>
            <w:r>
              <w:tab/>
              <w:t>If possible, accurate UE coverage information is shared with UE, i.e. UE coverage information received from the network with enhanced solution compared to Rel-17.</w:t>
            </w:r>
          </w:p>
          <w:p w14:paraId="5E764905" w14:textId="77777777" w:rsidR="008956FD" w:rsidRDefault="008956FD" w:rsidP="00A270E2">
            <w:pPr>
              <w:pStyle w:val="B1"/>
            </w:pPr>
            <w:r>
              <w:t>-</w:t>
            </w:r>
            <w:r>
              <w:tab/>
              <w:t>Satellite coverage data may be transferred to a UE from an external server or an AF.</w:t>
            </w:r>
          </w:p>
          <w:p w14:paraId="7ADC392D" w14:textId="77777777" w:rsidR="008956FD" w:rsidRDefault="008956FD" w:rsidP="00A270E2">
            <w:pPr>
              <w:pStyle w:val="B1"/>
            </w:pPr>
            <w:r>
              <w:t>-</w:t>
            </w:r>
            <w:r>
              <w:tab/>
              <w:t>Following Rel-17, the UE has satellite assistance information for predication of discontinuous coverage from RAN broadcasts.</w:t>
            </w:r>
          </w:p>
          <w:p w14:paraId="6D8A76EB" w14:textId="77777777" w:rsidR="008956FD" w:rsidRPr="00B65160" w:rsidRDefault="008956FD" w:rsidP="00A270E2">
            <w:pPr>
              <w:pStyle w:val="EditorsNote"/>
            </w:pPr>
            <w:r w:rsidRPr="00B65160">
              <w:t>Editor</w:t>
            </w:r>
            <w:r>
              <w:t>'</w:t>
            </w:r>
            <w:r w:rsidRPr="00B65160">
              <w:t>s note:</w:t>
            </w:r>
            <w:r>
              <w:tab/>
            </w:r>
            <w:r w:rsidRPr="00B65160">
              <w:t>LS need to have feedback from CT1 on w</w:t>
            </w:r>
            <w:r w:rsidRPr="00B12D53">
              <w:t xml:space="preserve">hether UP or NAS via an AMF/MME (CP) will be used for the transfer </w:t>
            </w:r>
            <w:r w:rsidRPr="00B65160">
              <w:t>depends on the discussion.</w:t>
            </w:r>
          </w:p>
          <w:p w14:paraId="74011412" w14:textId="77777777" w:rsidR="008956FD" w:rsidRDefault="008956FD" w:rsidP="00A270E2">
            <w:r>
              <w:t>Regarding the role of the UE:</w:t>
            </w:r>
          </w:p>
          <w:p w14:paraId="686BFCBC" w14:textId="77777777" w:rsidR="008956FD" w:rsidRDefault="008956FD" w:rsidP="00A270E2">
            <w:pPr>
              <w:pStyle w:val="B1"/>
            </w:pPr>
            <w:r>
              <w:t>-</w:t>
            </w:r>
            <w:r>
              <w:tab/>
              <w:t>The capability for the UE to be able to determine requested NAS timer values and MICO/PSM parameters based on its predicted UE unreachability periods needs to be specified. A UE that uses power saving initiates a NAS procedure, with sufficient time to complete the NAS procedure before the start of the unreachability period, and negotiates timer values and power saving parameters with AMF/MME as per existing specifications.</w:t>
            </w:r>
          </w:p>
          <w:p w14:paraId="11CB9E6D" w14:textId="77777777" w:rsidR="008956FD" w:rsidRPr="003966D0" w:rsidRDefault="008956FD" w:rsidP="00A270E2">
            <w:pPr>
              <w:jc w:val="both"/>
              <w:rPr>
                <w:rFonts w:ascii="Arial" w:hAnsi="Arial" w:cs="Arial"/>
              </w:rPr>
            </w:pPr>
          </w:p>
        </w:tc>
      </w:tr>
    </w:tbl>
    <w:p w14:paraId="2AF122C5" w14:textId="77777777" w:rsidR="00542BEB" w:rsidRPr="00AC3CD2" w:rsidRDefault="00542BEB" w:rsidP="00E06B61">
      <w:pPr>
        <w:jc w:val="both"/>
        <w:rPr>
          <w:rFonts w:ascii="Arial" w:hAnsi="Arial" w:cs="Arial"/>
          <w:lang w:val="en-US"/>
        </w:rPr>
      </w:pPr>
    </w:p>
    <w:p w14:paraId="7807335D" w14:textId="6F1BD286" w:rsidR="00397F2C" w:rsidRDefault="00397F2C" w:rsidP="00397F2C">
      <w:pPr>
        <w:jc w:val="both"/>
        <w:rPr>
          <w:rFonts w:ascii="Arial" w:hAnsi="Arial" w:cs="Arial"/>
          <w:lang w:val="en-US"/>
        </w:rPr>
      </w:pPr>
      <w:r>
        <w:rPr>
          <w:rFonts w:ascii="Arial" w:hAnsi="Arial" w:cs="Arial"/>
          <w:lang w:val="en-US"/>
        </w:rPr>
        <w:t>In RAN2#121 the following agreements were made:</w:t>
      </w:r>
    </w:p>
    <w:p w14:paraId="6830F889" w14:textId="41FA0471" w:rsidR="00397F2C" w:rsidRDefault="00397F2C" w:rsidP="00E06B61">
      <w:pPr>
        <w:jc w:val="both"/>
        <w:rPr>
          <w:rFonts w:ascii="Arial" w:hAnsi="Arial" w:cs="Arial"/>
          <w:lang w:val="en-US"/>
        </w:rPr>
      </w:pPr>
    </w:p>
    <w:tbl>
      <w:tblPr>
        <w:tblStyle w:val="TableGrid"/>
        <w:tblW w:w="0" w:type="auto"/>
        <w:tblLook w:val="04A0" w:firstRow="1" w:lastRow="0" w:firstColumn="1" w:lastColumn="0" w:noHBand="0" w:noVBand="1"/>
      </w:tblPr>
      <w:tblGrid>
        <w:gridCol w:w="9629"/>
      </w:tblGrid>
      <w:tr w:rsidR="00397F2C" w14:paraId="13C34ACA" w14:textId="77777777" w:rsidTr="00251008">
        <w:tc>
          <w:tcPr>
            <w:tcW w:w="9629" w:type="dxa"/>
          </w:tcPr>
          <w:p w14:paraId="0B52150F" w14:textId="77777777" w:rsidR="00251008" w:rsidRPr="00920D96" w:rsidRDefault="00251008" w:rsidP="00251008">
            <w:pPr>
              <w:jc w:val="both"/>
              <w:rPr>
                <w:rFonts w:asciiTheme="minorHAnsi" w:hAnsiTheme="minorHAnsi" w:cstheme="minorHAnsi"/>
                <w:lang w:val="en-US"/>
              </w:rPr>
            </w:pPr>
            <w:r w:rsidRPr="00920D96">
              <w:rPr>
                <w:rFonts w:asciiTheme="minorHAnsi" w:hAnsiTheme="minorHAnsi" w:cstheme="minorHAnsi"/>
                <w:lang w:val="en-US"/>
              </w:rPr>
              <w:t>Agreements:</w:t>
            </w:r>
          </w:p>
          <w:p w14:paraId="66FE9366" w14:textId="139A9613" w:rsidR="00251008" w:rsidRPr="00920D96" w:rsidRDefault="00251008" w:rsidP="00920D96">
            <w:pPr>
              <w:pStyle w:val="ListParagraph"/>
              <w:numPr>
                <w:ilvl w:val="0"/>
                <w:numId w:val="26"/>
              </w:numPr>
              <w:jc w:val="both"/>
              <w:rPr>
                <w:rFonts w:asciiTheme="minorHAnsi" w:hAnsiTheme="minorHAnsi" w:cstheme="minorHAnsi"/>
                <w:lang w:val="en-US"/>
              </w:rPr>
            </w:pPr>
            <w:r w:rsidRPr="00920D96">
              <w:rPr>
                <w:rFonts w:asciiTheme="minorHAnsi" w:eastAsia="Malgun Gothic" w:hAnsiTheme="minorHAnsi" w:cstheme="minorHAnsi"/>
                <w:sz w:val="20"/>
                <w:szCs w:val="20"/>
                <w:lang w:val="en-US"/>
              </w:rPr>
              <w:t>RAN2 can continue to check whether dedicated RRC signalling can be used for providing satellite information corresponding to discontinuous coverage.</w:t>
            </w:r>
          </w:p>
          <w:p w14:paraId="4F699DAD" w14:textId="74EA096B" w:rsidR="00251008" w:rsidRPr="00920D96" w:rsidRDefault="00251008" w:rsidP="00920D96">
            <w:pPr>
              <w:pStyle w:val="ListParagraph"/>
              <w:numPr>
                <w:ilvl w:val="0"/>
                <w:numId w:val="26"/>
              </w:numPr>
              <w:jc w:val="both"/>
              <w:rPr>
                <w:rFonts w:asciiTheme="minorHAnsi" w:hAnsiTheme="minorHAnsi" w:cstheme="minorHAnsi"/>
                <w:lang w:val="en-US"/>
              </w:rPr>
            </w:pPr>
            <w:r w:rsidRPr="00920D96">
              <w:rPr>
                <w:rFonts w:asciiTheme="minorHAnsi" w:eastAsia="Malgun Gothic" w:hAnsiTheme="minorHAnsi" w:cstheme="minorHAnsi"/>
                <w:sz w:val="20"/>
                <w:szCs w:val="20"/>
                <w:lang w:val="en-US"/>
              </w:rPr>
              <w:t>RAN2 will support enhancements in paging and eDRX, in alignment with the work in SA2 and CT1. FFS on the details</w:t>
            </w:r>
          </w:p>
          <w:p w14:paraId="21D2C5B9" w14:textId="1A9CDC5E" w:rsidR="00251008" w:rsidRPr="00920D96" w:rsidRDefault="00251008" w:rsidP="00920D96">
            <w:pPr>
              <w:pStyle w:val="ListParagraph"/>
              <w:numPr>
                <w:ilvl w:val="0"/>
                <w:numId w:val="26"/>
              </w:numPr>
              <w:jc w:val="both"/>
              <w:rPr>
                <w:rFonts w:asciiTheme="minorHAnsi" w:hAnsiTheme="minorHAnsi" w:cstheme="minorHAnsi"/>
                <w:lang w:val="en-US"/>
              </w:rPr>
            </w:pPr>
            <w:r w:rsidRPr="00920D96">
              <w:rPr>
                <w:rFonts w:asciiTheme="minorHAnsi" w:eastAsia="Malgun Gothic" w:hAnsiTheme="minorHAnsi" w:cstheme="minorHAnsi"/>
                <w:sz w:val="20"/>
                <w:szCs w:val="20"/>
                <w:lang w:val="en-US"/>
              </w:rPr>
              <w:t>RAN2 may consider enhancements for connected UE upon detecting discontinuous coverage (e.g., suspend RLM, RLF detection, and RRC re-establishment process)</w:t>
            </w:r>
          </w:p>
          <w:p w14:paraId="6F15008E" w14:textId="0C0552EC" w:rsidR="00397F2C" w:rsidRPr="00920D96" w:rsidRDefault="00251008" w:rsidP="00920D96">
            <w:pPr>
              <w:pStyle w:val="ListParagraph"/>
              <w:numPr>
                <w:ilvl w:val="0"/>
                <w:numId w:val="26"/>
              </w:numPr>
              <w:jc w:val="both"/>
              <w:rPr>
                <w:rFonts w:ascii="Arial" w:hAnsi="Arial" w:cs="Arial"/>
                <w:lang w:val="en-US"/>
              </w:rPr>
            </w:pPr>
            <w:r w:rsidRPr="00920D96">
              <w:rPr>
                <w:rFonts w:asciiTheme="minorHAnsi" w:eastAsia="Malgun Gothic" w:hAnsiTheme="minorHAnsi" w:cstheme="minorHAnsi"/>
                <w:sz w:val="20"/>
                <w:szCs w:val="20"/>
                <w:lang w:val="en-US"/>
              </w:rPr>
              <w:t>Companies supporting the store and forward approach can bring a proposal to the plenary for TEI18 or for updating the WID</w:t>
            </w:r>
          </w:p>
        </w:tc>
      </w:tr>
    </w:tbl>
    <w:p w14:paraId="2F893420" w14:textId="77777777" w:rsidR="00397F2C" w:rsidRDefault="00397F2C" w:rsidP="00E06B61">
      <w:pPr>
        <w:jc w:val="both"/>
        <w:rPr>
          <w:rFonts w:ascii="Arial" w:hAnsi="Arial" w:cs="Arial"/>
          <w:lang w:val="en-US"/>
        </w:rPr>
      </w:pPr>
    </w:p>
    <w:p w14:paraId="3D9A87E5" w14:textId="346DD914" w:rsidR="004316C0" w:rsidRPr="00AC3CD2" w:rsidRDefault="00B64ACB" w:rsidP="00E06B61">
      <w:pPr>
        <w:jc w:val="both"/>
        <w:rPr>
          <w:rFonts w:ascii="Arial" w:hAnsi="Arial" w:cs="Arial"/>
          <w:lang w:val="en-US"/>
        </w:rPr>
      </w:pPr>
      <w:r w:rsidRPr="00AC3CD2">
        <w:rPr>
          <w:rFonts w:ascii="Arial" w:hAnsi="Arial" w:cs="Arial"/>
          <w:lang w:val="en-US"/>
        </w:rPr>
        <w:t xml:space="preserve">In this contribution we </w:t>
      </w:r>
      <w:r w:rsidR="00251008">
        <w:rPr>
          <w:rFonts w:ascii="Arial" w:hAnsi="Arial" w:cs="Arial"/>
          <w:lang w:val="en-US"/>
        </w:rPr>
        <w:t xml:space="preserve">further </w:t>
      </w:r>
      <w:r w:rsidRPr="00AC3CD2">
        <w:rPr>
          <w:rFonts w:ascii="Arial" w:hAnsi="Arial" w:cs="Arial"/>
          <w:lang w:val="en-US"/>
        </w:rPr>
        <w:t xml:space="preserve">discuss the </w:t>
      </w:r>
      <w:r w:rsidR="00523801" w:rsidRPr="00AC3CD2">
        <w:rPr>
          <w:rFonts w:ascii="Arial" w:hAnsi="Arial" w:cs="Arial"/>
          <w:lang w:val="en-US"/>
        </w:rPr>
        <w:t>potential impact.</w:t>
      </w:r>
    </w:p>
    <w:p w14:paraId="552A99B5" w14:textId="22B0A1DD" w:rsidR="0030215B" w:rsidRPr="00AC3CD2" w:rsidRDefault="0039482C" w:rsidP="0030215B">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Background</w:t>
      </w:r>
    </w:p>
    <w:p w14:paraId="6DF6928D" w14:textId="204AE9CD" w:rsidR="0039482C" w:rsidRPr="00AC3CD2" w:rsidRDefault="0030215B" w:rsidP="00CE1EF1">
      <w:pPr>
        <w:pStyle w:val="Heading2"/>
        <w:rPr>
          <w:rFonts w:ascii="Arial" w:hAnsi="Arial"/>
        </w:rPr>
      </w:pPr>
      <w:r w:rsidRPr="00AC3CD2">
        <w:rPr>
          <w:rStyle w:val="Emphasis"/>
          <w:rFonts w:ascii="Arial" w:hAnsi="Arial"/>
          <w:i w:val="0"/>
          <w:iCs/>
        </w:rPr>
        <w:t>2.1</w:t>
      </w:r>
      <w:r w:rsidRPr="00AC3CD2">
        <w:rPr>
          <w:rStyle w:val="Emphasis"/>
          <w:rFonts w:ascii="Arial" w:hAnsi="Arial"/>
          <w:i w:val="0"/>
          <w:iCs/>
        </w:rPr>
        <w:tab/>
      </w:r>
      <w:r w:rsidR="007B7AD2">
        <w:rPr>
          <w:rStyle w:val="Emphasis"/>
          <w:rFonts w:ascii="Arial" w:hAnsi="Arial"/>
          <w:i w:val="0"/>
          <w:iCs/>
        </w:rPr>
        <w:t>Discontinuous coverage enhancement</w:t>
      </w:r>
      <w:r w:rsidR="00CE1EF1" w:rsidRPr="00AC3CD2">
        <w:rPr>
          <w:rStyle w:val="Emphasis"/>
          <w:rFonts w:ascii="Arial" w:hAnsi="Arial"/>
          <w:i w:val="0"/>
          <w:iCs/>
        </w:rPr>
        <w:t xml:space="preserve"> in</w:t>
      </w:r>
      <w:r w:rsidR="00C17C32" w:rsidRPr="00AC3CD2">
        <w:rPr>
          <w:rStyle w:val="Emphasis"/>
          <w:rFonts w:ascii="Arial" w:hAnsi="Arial"/>
          <w:i w:val="0"/>
          <w:iCs/>
        </w:rPr>
        <w:t xml:space="preserve"> </w:t>
      </w:r>
      <w:r w:rsidRPr="00AC3CD2">
        <w:rPr>
          <w:rStyle w:val="Emphasis"/>
          <w:rFonts w:ascii="Arial" w:eastAsia="Times New Roman" w:hAnsi="Arial"/>
          <w:i w:val="0"/>
          <w:iCs/>
        </w:rPr>
        <w:t xml:space="preserve"> Rel-17 </w:t>
      </w:r>
      <w:r w:rsidR="00CE1EF1" w:rsidRPr="00AC3CD2">
        <w:rPr>
          <w:rStyle w:val="Emphasis"/>
          <w:rFonts w:ascii="Arial" w:eastAsia="Times New Roman" w:hAnsi="Arial"/>
          <w:i w:val="0"/>
          <w:iCs/>
        </w:rPr>
        <w:t>NB-IoT</w:t>
      </w:r>
    </w:p>
    <w:p w14:paraId="50960718" w14:textId="77777777" w:rsidR="00F84AD9" w:rsidRPr="00AC3CD2" w:rsidRDefault="00F84AD9" w:rsidP="00486FBF">
      <w:pPr>
        <w:rPr>
          <w:rFonts w:ascii="Arial" w:hAnsi="Arial" w:cs="Arial"/>
          <w:lang w:val="en-US"/>
        </w:rPr>
      </w:pPr>
    </w:p>
    <w:p w14:paraId="238BBEE4" w14:textId="07A4F7FE" w:rsidR="00357BA9" w:rsidRDefault="007B7AD2" w:rsidP="00675D75">
      <w:pPr>
        <w:rPr>
          <w:rFonts w:ascii="Arial" w:hAnsi="Arial" w:cs="Arial"/>
          <w:lang w:val="en-US"/>
        </w:rPr>
      </w:pPr>
      <w:r>
        <w:rPr>
          <w:rFonts w:ascii="Arial" w:hAnsi="Arial" w:cs="Arial"/>
          <w:lang w:val="en-US"/>
        </w:rPr>
        <w:t>In Rel-17</w:t>
      </w:r>
      <w:r w:rsidR="009A0018">
        <w:rPr>
          <w:rFonts w:ascii="Arial" w:hAnsi="Arial" w:cs="Arial"/>
          <w:lang w:val="en-US"/>
        </w:rPr>
        <w:t>, due to lack of time, only the information broadcast in SIB</w:t>
      </w:r>
      <w:r w:rsidR="00814F1E">
        <w:rPr>
          <w:rFonts w:ascii="Arial" w:hAnsi="Arial" w:cs="Arial"/>
          <w:lang w:val="en-US"/>
        </w:rPr>
        <w:t>32/SIB32-NB</w:t>
      </w:r>
      <w:r w:rsidR="009A0018">
        <w:rPr>
          <w:rFonts w:ascii="Arial" w:hAnsi="Arial" w:cs="Arial"/>
          <w:lang w:val="en-US"/>
        </w:rPr>
        <w:t xml:space="preserve"> is specified, and</w:t>
      </w:r>
      <w:r>
        <w:rPr>
          <w:rFonts w:ascii="Arial" w:hAnsi="Arial" w:cs="Arial"/>
          <w:lang w:val="en-US"/>
        </w:rPr>
        <w:t xml:space="preserve"> it’s up to UE implementation</w:t>
      </w:r>
      <w:r w:rsidR="009A0018">
        <w:rPr>
          <w:rFonts w:ascii="Arial" w:hAnsi="Arial" w:cs="Arial"/>
          <w:lang w:val="en-US"/>
        </w:rPr>
        <w:t xml:space="preserve"> what to do during discontinuous coverage in RRC_IDLE and how to handle running timers and so on. The UE may choose not to perform idle mode tasks while in discontinuous coverage. </w:t>
      </w:r>
      <w:r w:rsidR="00675D75">
        <w:rPr>
          <w:rFonts w:ascii="Arial" w:hAnsi="Arial" w:cs="Arial"/>
          <w:lang w:val="en-US"/>
        </w:rPr>
        <w:t>Since most of the behavior is left to UE implementation t</w:t>
      </w:r>
      <w:r w:rsidR="009A0018">
        <w:rPr>
          <w:rFonts w:ascii="Arial" w:hAnsi="Arial" w:cs="Arial"/>
          <w:lang w:val="en-US"/>
        </w:rPr>
        <w:t>he benefit of the information broadcast in SIB</w:t>
      </w:r>
      <w:r w:rsidR="00D97FF5">
        <w:rPr>
          <w:rFonts w:ascii="Arial" w:hAnsi="Arial" w:cs="Arial"/>
          <w:lang w:val="en-US"/>
        </w:rPr>
        <w:t>32</w:t>
      </w:r>
      <w:r w:rsidR="00814F1E">
        <w:rPr>
          <w:rFonts w:ascii="Arial" w:hAnsi="Arial" w:cs="Arial"/>
          <w:lang w:val="en-US"/>
        </w:rPr>
        <w:t>/SIB32</w:t>
      </w:r>
      <w:r w:rsidR="00D97FF5">
        <w:rPr>
          <w:rFonts w:ascii="Arial" w:hAnsi="Arial" w:cs="Arial"/>
          <w:lang w:val="en-US"/>
        </w:rPr>
        <w:t>-NB</w:t>
      </w:r>
      <w:r w:rsidR="009A0018">
        <w:rPr>
          <w:rFonts w:ascii="Arial" w:hAnsi="Arial" w:cs="Arial"/>
          <w:lang w:val="en-US"/>
        </w:rPr>
        <w:t xml:space="preserve"> is limited.</w:t>
      </w:r>
    </w:p>
    <w:p w14:paraId="5ECA79A7" w14:textId="18A9E638" w:rsidR="00814F1E" w:rsidRDefault="00814F1E" w:rsidP="00675D75">
      <w:pPr>
        <w:rPr>
          <w:rFonts w:ascii="Arial" w:hAnsi="Arial" w:cs="Arial"/>
          <w:lang w:val="en-US"/>
        </w:rPr>
      </w:pPr>
    </w:p>
    <w:p w14:paraId="48F1B10F" w14:textId="6948E9F7" w:rsidR="00814F1E" w:rsidRDefault="00814F1E" w:rsidP="00675D75">
      <w:pPr>
        <w:rPr>
          <w:rFonts w:ascii="Arial" w:hAnsi="Arial" w:cs="Arial"/>
          <w:lang w:val="en-US"/>
        </w:rPr>
      </w:pPr>
      <w:r>
        <w:rPr>
          <w:rFonts w:ascii="Arial" w:hAnsi="Arial" w:cs="Arial"/>
          <w:lang w:val="en-US"/>
        </w:rPr>
        <w:t>The following parameters are provided (</w:t>
      </w:r>
      <w:r w:rsidR="0040551E">
        <w:rPr>
          <w:rFonts w:ascii="Arial" w:hAnsi="Arial" w:cs="Arial"/>
          <w:lang w:val="en-US"/>
        </w:rPr>
        <w:t>same IE is used in both SIB32/SIB32-NB)</w:t>
      </w:r>
    </w:p>
    <w:p w14:paraId="663248F8" w14:textId="3226312E" w:rsidR="00814F1E" w:rsidRDefault="00814F1E" w:rsidP="00675D75">
      <w:pPr>
        <w:rPr>
          <w:rFonts w:ascii="Arial" w:hAnsi="Arial" w:cs="Arial"/>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8176E" w:rsidRPr="0088176E" w14:paraId="440363FA" w14:textId="77777777" w:rsidTr="00F248BF">
        <w:trPr>
          <w:cantSplit/>
          <w:tblHeader/>
        </w:trPr>
        <w:tc>
          <w:tcPr>
            <w:tcW w:w="9639" w:type="dxa"/>
          </w:tcPr>
          <w:p w14:paraId="5A532D72" w14:textId="77777777" w:rsidR="0088176E" w:rsidRPr="0088176E" w:rsidRDefault="0088176E" w:rsidP="0088176E">
            <w:pPr>
              <w:keepNext/>
              <w:keepLines/>
              <w:overflowPunct w:val="0"/>
              <w:autoSpaceDE w:val="0"/>
              <w:autoSpaceDN w:val="0"/>
              <w:adjustRightInd w:val="0"/>
              <w:jc w:val="center"/>
              <w:textAlignment w:val="baseline"/>
              <w:rPr>
                <w:rFonts w:ascii="Arial" w:eastAsia="Times New Roman" w:hAnsi="Arial"/>
                <w:b/>
                <w:sz w:val="18"/>
                <w:lang w:eastAsia="en-GB"/>
              </w:rPr>
            </w:pPr>
            <w:r w:rsidRPr="0088176E">
              <w:rPr>
                <w:rFonts w:ascii="Arial" w:eastAsia="Times New Roman" w:hAnsi="Arial"/>
                <w:b/>
                <w:i/>
                <w:iCs/>
                <w:sz w:val="18"/>
                <w:lang w:eastAsia="en-GB"/>
              </w:rPr>
              <w:t>SystemInformationBlockType32</w:t>
            </w:r>
            <w:r w:rsidRPr="0088176E">
              <w:rPr>
                <w:rFonts w:ascii="Arial" w:eastAsia="Times New Roman" w:hAnsi="Arial"/>
                <w:b/>
                <w:sz w:val="18"/>
                <w:lang w:eastAsia="en-GB"/>
              </w:rPr>
              <w:t xml:space="preserve"> </w:t>
            </w:r>
            <w:r w:rsidRPr="0088176E">
              <w:rPr>
                <w:rFonts w:ascii="Arial" w:eastAsia="Times New Roman" w:hAnsi="Arial"/>
                <w:b/>
                <w:iCs/>
                <w:sz w:val="18"/>
                <w:lang w:eastAsia="en-GB"/>
              </w:rPr>
              <w:t>field descriptions</w:t>
            </w:r>
          </w:p>
        </w:tc>
      </w:tr>
      <w:tr w:rsidR="0088176E" w:rsidRPr="0088176E" w14:paraId="7E70488F" w14:textId="77777777" w:rsidTr="00F248BF">
        <w:trPr>
          <w:cantSplit/>
          <w:tblHeader/>
        </w:trPr>
        <w:tc>
          <w:tcPr>
            <w:tcW w:w="9639" w:type="dxa"/>
          </w:tcPr>
          <w:p w14:paraId="511F476F"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elevationAngleLeft, elevationAngleRight</w:t>
            </w:r>
          </w:p>
          <w:p w14:paraId="38045075"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ja-JP"/>
              </w:rPr>
            </w:pPr>
            <w:r w:rsidRPr="0088176E">
              <w:rPr>
                <w:rFonts w:ascii="Arial" w:eastAsia="Times New Roman" w:hAnsi="Arial"/>
                <w:sz w:val="18"/>
                <w:lang w:eastAsia="ja-JP"/>
              </w:rPr>
              <w:t>Leftmost and rightmost (with reference to the satellite direction) elevation angle. Unit in degree.</w:t>
            </w:r>
          </w:p>
          <w:p w14:paraId="188F57E5"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zh-CN"/>
              </w:rPr>
            </w:pPr>
            <w:r w:rsidRPr="0088176E">
              <w:rPr>
                <w:rFonts w:ascii="Arial" w:eastAsia="Times New Roman" w:hAnsi="Arial"/>
                <w:sz w:val="18"/>
                <w:lang w:eastAsia="ja-JP"/>
              </w:rPr>
              <w:t xml:space="preserve">Step of 5 degree. </w:t>
            </w:r>
            <w:r w:rsidRPr="0088176E">
              <w:rPr>
                <w:rFonts w:ascii="Arial" w:eastAsia="Times New Roman" w:hAnsi="Arial"/>
                <w:sz w:val="18"/>
                <w:lang w:eastAsia="zh-CN"/>
              </w:rPr>
              <w:t xml:space="preserve">Actual value = field value * </w:t>
            </w:r>
            <w:r w:rsidRPr="0088176E">
              <w:rPr>
                <w:rFonts w:ascii="Arial" w:eastAsia="Times New Roman" w:hAnsi="Arial"/>
                <w:sz w:val="18"/>
                <w:lang w:eastAsia="ja-JP"/>
              </w:rPr>
              <w:t>5</w:t>
            </w:r>
            <w:r w:rsidRPr="0088176E">
              <w:rPr>
                <w:rFonts w:ascii="Arial" w:eastAsia="Times New Roman" w:hAnsi="Arial"/>
                <w:sz w:val="18"/>
                <w:lang w:eastAsia="zh-CN"/>
              </w:rPr>
              <w:t>.</w:t>
            </w:r>
          </w:p>
          <w:p w14:paraId="4E2BB94B"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zh-CN"/>
              </w:rPr>
              <w:t xml:space="preserve">If the field </w:t>
            </w:r>
            <w:r w:rsidRPr="0088176E">
              <w:rPr>
                <w:rFonts w:ascii="Arial" w:eastAsia="Times New Roman" w:hAnsi="Arial"/>
                <w:i/>
                <w:sz w:val="18"/>
                <w:lang w:eastAsia="zh-CN"/>
              </w:rPr>
              <w:t>elevationAngleLeft</w:t>
            </w:r>
            <w:r w:rsidRPr="0088176E">
              <w:rPr>
                <w:rFonts w:ascii="Arial" w:eastAsia="Times New Roman" w:hAnsi="Arial"/>
                <w:sz w:val="18"/>
                <w:lang w:eastAsia="zh-CN"/>
              </w:rPr>
              <w:t xml:space="preserve"> is absent, the value of field </w:t>
            </w:r>
            <w:r w:rsidRPr="0088176E">
              <w:rPr>
                <w:rFonts w:ascii="Arial" w:eastAsia="Times New Roman" w:hAnsi="Arial"/>
                <w:i/>
                <w:sz w:val="18"/>
                <w:lang w:eastAsia="zh-CN"/>
              </w:rPr>
              <w:t>elevationAngleRight</w:t>
            </w:r>
            <w:r w:rsidRPr="0088176E">
              <w:rPr>
                <w:rFonts w:ascii="Arial" w:eastAsia="Times New Roman" w:hAnsi="Arial"/>
                <w:sz w:val="18"/>
                <w:lang w:eastAsia="zh-CN"/>
              </w:rPr>
              <w:t xml:space="preserve"> applies.</w:t>
            </w:r>
          </w:p>
        </w:tc>
      </w:tr>
      <w:tr w:rsidR="0088176E" w:rsidRPr="0088176E" w14:paraId="68B254B6" w14:textId="77777777" w:rsidTr="00F248BF">
        <w:trPr>
          <w:cantSplit/>
          <w:tblHeader/>
        </w:trPr>
        <w:tc>
          <w:tcPr>
            <w:tcW w:w="9639" w:type="dxa"/>
          </w:tcPr>
          <w:p w14:paraId="349C9FBE"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footprintInfo</w:t>
            </w:r>
          </w:p>
          <w:p w14:paraId="77A9175C"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Satellite footprint.</w:t>
            </w:r>
          </w:p>
          <w:p w14:paraId="2CF20E5F"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ja-JP"/>
              </w:rPr>
            </w:pPr>
            <w:r w:rsidRPr="0088176E">
              <w:rPr>
                <w:rFonts w:ascii="Arial" w:eastAsia="Times New Roman" w:hAnsi="Arial"/>
                <w:bCs/>
                <w:iCs/>
                <w:kern w:val="2"/>
                <w:sz w:val="18"/>
                <w:lang w:eastAsia="ja-JP"/>
              </w:rPr>
              <w:t xml:space="preserve">E-UTRAN may configure </w:t>
            </w:r>
            <w:r w:rsidRPr="0088176E">
              <w:rPr>
                <w:rFonts w:ascii="Arial" w:eastAsia="Times New Roman" w:hAnsi="Arial"/>
                <w:i/>
                <w:sz w:val="18"/>
                <w:lang w:eastAsia="ja-JP"/>
              </w:rPr>
              <w:t>elevationAngles</w:t>
            </w:r>
            <w:r w:rsidRPr="0088176E">
              <w:rPr>
                <w:rFonts w:ascii="Arial" w:eastAsia="Times New Roman" w:hAnsi="Arial"/>
                <w:sz w:val="18"/>
                <w:lang w:eastAsia="ja-JP"/>
              </w:rPr>
              <w:t xml:space="preserve"> and/or </w:t>
            </w:r>
            <w:r w:rsidRPr="0088176E">
              <w:rPr>
                <w:rFonts w:ascii="Arial" w:eastAsia="Times New Roman" w:hAnsi="Arial"/>
                <w:i/>
                <w:sz w:val="18"/>
                <w:lang w:eastAsia="ja-JP"/>
              </w:rPr>
              <w:t xml:space="preserve">radius </w:t>
            </w:r>
            <w:r w:rsidRPr="0088176E">
              <w:rPr>
                <w:rFonts w:ascii="Arial" w:eastAsia="Times New Roman" w:hAnsi="Arial"/>
                <w:bCs/>
                <w:iCs/>
                <w:kern w:val="2"/>
                <w:sz w:val="18"/>
                <w:lang w:eastAsia="ja-JP"/>
              </w:rPr>
              <w:t>for earth moving satellite</w:t>
            </w:r>
            <w:r w:rsidRPr="0088176E">
              <w:rPr>
                <w:rFonts w:ascii="Arial" w:eastAsia="Times New Roman" w:hAnsi="Arial"/>
                <w:sz w:val="18"/>
                <w:lang w:eastAsia="ja-JP"/>
              </w:rPr>
              <w:t>.</w:t>
            </w:r>
          </w:p>
          <w:p w14:paraId="5D1E265B"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bCs/>
                <w:iCs/>
                <w:kern w:val="2"/>
                <w:sz w:val="18"/>
                <w:lang w:eastAsia="ja-JP"/>
              </w:rPr>
              <w:t xml:space="preserve">E-UTRAN may configure </w:t>
            </w:r>
            <w:r w:rsidRPr="0088176E">
              <w:rPr>
                <w:rFonts w:ascii="Arial" w:eastAsia="Times New Roman" w:hAnsi="Arial"/>
                <w:i/>
                <w:sz w:val="18"/>
                <w:lang w:eastAsia="ja-JP"/>
              </w:rPr>
              <w:t xml:space="preserve">referencePoint </w:t>
            </w:r>
            <w:r w:rsidRPr="0088176E">
              <w:rPr>
                <w:rFonts w:ascii="Arial" w:eastAsia="Times New Roman" w:hAnsi="Arial"/>
                <w:sz w:val="18"/>
                <w:lang w:eastAsia="ja-JP"/>
              </w:rPr>
              <w:t xml:space="preserve">and </w:t>
            </w:r>
            <w:r w:rsidRPr="0088176E">
              <w:rPr>
                <w:rFonts w:ascii="Arial" w:eastAsia="Times New Roman" w:hAnsi="Arial"/>
                <w:i/>
                <w:sz w:val="18"/>
                <w:lang w:eastAsia="ja-JP"/>
              </w:rPr>
              <w:t xml:space="preserve">radius </w:t>
            </w:r>
            <w:r w:rsidRPr="0088176E">
              <w:rPr>
                <w:rFonts w:ascii="Arial" w:eastAsia="Times New Roman" w:hAnsi="Arial"/>
                <w:sz w:val="18"/>
                <w:lang w:eastAsia="ja-JP"/>
              </w:rPr>
              <w:t>f</w:t>
            </w:r>
            <w:r w:rsidRPr="0088176E">
              <w:rPr>
                <w:rFonts w:ascii="Arial" w:eastAsia="Times New Roman" w:hAnsi="Arial"/>
                <w:bCs/>
                <w:iCs/>
                <w:kern w:val="2"/>
                <w:sz w:val="18"/>
                <w:lang w:eastAsia="ja-JP"/>
              </w:rPr>
              <w:t>or quasi earth fixed satellite</w:t>
            </w:r>
            <w:r w:rsidRPr="0088176E">
              <w:rPr>
                <w:rFonts w:ascii="Arial" w:eastAsia="Times New Roman" w:hAnsi="Arial"/>
                <w:sz w:val="18"/>
                <w:lang w:eastAsia="ja-JP"/>
              </w:rPr>
              <w:t>.</w:t>
            </w:r>
          </w:p>
        </w:tc>
      </w:tr>
      <w:tr w:rsidR="0088176E" w:rsidRPr="0088176E" w14:paraId="1A1433E3" w14:textId="77777777" w:rsidTr="00F248BF">
        <w:trPr>
          <w:cantSplit/>
          <w:tblHeader/>
        </w:trPr>
        <w:tc>
          <w:tcPr>
            <w:tcW w:w="9639" w:type="dxa"/>
          </w:tcPr>
          <w:p w14:paraId="1C68BA4A"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latitude</w:t>
            </w:r>
          </w:p>
          <w:p w14:paraId="78BF5922"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Latitude of the reference point</w:t>
            </w:r>
            <w:r w:rsidRPr="0088176E">
              <w:rPr>
                <w:rFonts w:ascii="Arial" w:eastAsia="Times New Roman" w:hAnsi="Arial"/>
                <w:sz w:val="18"/>
                <w:lang w:eastAsia="ja-JP"/>
              </w:rPr>
              <w:t>. Unit in degree.</w:t>
            </w:r>
          </w:p>
          <w:p w14:paraId="5FCB6CA7"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ja-JP"/>
              </w:rPr>
              <w:t xml:space="preserve">Step of </w:t>
            </w:r>
            <w:r w:rsidRPr="0088176E">
              <w:rPr>
                <w:rFonts w:ascii="Arial" w:eastAsia="Times New Roman" w:hAnsi="Arial"/>
                <w:sz w:val="18"/>
                <w:szCs w:val="16"/>
                <w:lang w:eastAsia="ja-JP"/>
              </w:rPr>
              <w:t xml:space="preserve">360 / 262144 </w:t>
            </w:r>
            <w:r w:rsidRPr="0088176E">
              <w:rPr>
                <w:rFonts w:ascii="Arial" w:eastAsia="Times New Roman" w:hAnsi="Arial"/>
                <w:sz w:val="18"/>
                <w:lang w:eastAsia="ja-JP"/>
              </w:rPr>
              <w:t xml:space="preserve">degree. </w:t>
            </w:r>
            <w:r w:rsidRPr="0088176E">
              <w:rPr>
                <w:rFonts w:ascii="Arial" w:eastAsia="Times New Roman" w:hAnsi="Arial"/>
                <w:sz w:val="18"/>
                <w:lang w:eastAsia="zh-CN"/>
              </w:rPr>
              <w:t>Actual value = field value * (</w:t>
            </w:r>
            <w:r w:rsidRPr="0088176E">
              <w:rPr>
                <w:rFonts w:ascii="Arial" w:eastAsia="Times New Roman" w:hAnsi="Arial"/>
                <w:sz w:val="18"/>
                <w:szCs w:val="16"/>
                <w:lang w:eastAsia="ja-JP"/>
              </w:rPr>
              <w:t>360 / 262144</w:t>
            </w:r>
            <w:r w:rsidRPr="0088176E">
              <w:rPr>
                <w:rFonts w:ascii="Arial" w:eastAsia="Times New Roman" w:hAnsi="Arial"/>
                <w:sz w:val="18"/>
                <w:lang w:eastAsia="zh-CN"/>
              </w:rPr>
              <w:t>).</w:t>
            </w:r>
          </w:p>
        </w:tc>
      </w:tr>
      <w:tr w:rsidR="0088176E" w:rsidRPr="0088176E" w14:paraId="177E5DF6" w14:textId="77777777" w:rsidTr="00F248BF">
        <w:trPr>
          <w:cantSplit/>
          <w:tblHeader/>
        </w:trPr>
        <w:tc>
          <w:tcPr>
            <w:tcW w:w="9639" w:type="dxa"/>
          </w:tcPr>
          <w:p w14:paraId="1417508D"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longitude</w:t>
            </w:r>
          </w:p>
          <w:p w14:paraId="5D79F6D4"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Longitude of the reference point</w:t>
            </w:r>
            <w:r w:rsidRPr="0088176E">
              <w:rPr>
                <w:rFonts w:ascii="Arial" w:eastAsia="Times New Roman" w:hAnsi="Arial"/>
                <w:sz w:val="18"/>
                <w:lang w:eastAsia="ja-JP"/>
              </w:rPr>
              <w:t>. Unit in degree.</w:t>
            </w:r>
          </w:p>
          <w:p w14:paraId="2AFF1967"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ja-JP"/>
              </w:rPr>
              <w:t xml:space="preserve">Step of </w:t>
            </w:r>
            <w:r w:rsidRPr="0088176E">
              <w:rPr>
                <w:rFonts w:ascii="Arial" w:eastAsia="Times New Roman" w:hAnsi="Arial"/>
                <w:sz w:val="18"/>
                <w:szCs w:val="16"/>
                <w:lang w:eastAsia="ja-JP"/>
              </w:rPr>
              <w:t xml:space="preserve">360 / 262144 </w:t>
            </w:r>
            <w:r w:rsidRPr="0088176E">
              <w:rPr>
                <w:rFonts w:ascii="Arial" w:eastAsia="Times New Roman" w:hAnsi="Arial"/>
                <w:sz w:val="18"/>
                <w:lang w:eastAsia="ja-JP"/>
              </w:rPr>
              <w:t xml:space="preserve">degree. </w:t>
            </w:r>
            <w:r w:rsidRPr="0088176E">
              <w:rPr>
                <w:rFonts w:ascii="Arial" w:eastAsia="Times New Roman" w:hAnsi="Arial"/>
                <w:sz w:val="18"/>
                <w:lang w:eastAsia="zh-CN"/>
              </w:rPr>
              <w:t>Actual value = field value * (</w:t>
            </w:r>
            <w:r w:rsidRPr="0088176E">
              <w:rPr>
                <w:rFonts w:ascii="Arial" w:eastAsia="Times New Roman" w:hAnsi="Arial"/>
                <w:sz w:val="18"/>
                <w:szCs w:val="16"/>
                <w:lang w:eastAsia="ja-JP"/>
              </w:rPr>
              <w:t>360 / 262144</w:t>
            </w:r>
            <w:r w:rsidRPr="0088176E">
              <w:rPr>
                <w:rFonts w:ascii="Arial" w:eastAsia="Times New Roman" w:hAnsi="Arial"/>
                <w:sz w:val="18"/>
                <w:lang w:eastAsia="zh-CN"/>
              </w:rPr>
              <w:t>).</w:t>
            </w:r>
          </w:p>
        </w:tc>
      </w:tr>
      <w:tr w:rsidR="0088176E" w:rsidRPr="0088176E" w14:paraId="2528731B" w14:textId="77777777" w:rsidTr="00F248BF">
        <w:trPr>
          <w:cantSplit/>
          <w:tblHeader/>
        </w:trPr>
        <w:tc>
          <w:tcPr>
            <w:tcW w:w="9639" w:type="dxa"/>
          </w:tcPr>
          <w:p w14:paraId="65E75C2A"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radius</w:t>
            </w:r>
          </w:p>
          <w:p w14:paraId="77C7A12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sz w:val="18"/>
                <w:lang w:eastAsia="ja-JP"/>
              </w:rPr>
              <w:t>Distance between the reference point and the edge of the satellite or beam coverage. Unit in km.</w:t>
            </w:r>
          </w:p>
          <w:p w14:paraId="407D6214"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ja-JP"/>
              </w:rPr>
              <w:t xml:space="preserve">Step of 10 km. </w:t>
            </w:r>
            <w:r w:rsidRPr="0088176E">
              <w:rPr>
                <w:rFonts w:ascii="Arial" w:eastAsia="Times New Roman" w:hAnsi="Arial"/>
                <w:sz w:val="18"/>
                <w:lang w:eastAsia="zh-CN"/>
              </w:rPr>
              <w:t xml:space="preserve">Actual value = field value * </w:t>
            </w:r>
            <w:r w:rsidRPr="0088176E">
              <w:rPr>
                <w:rFonts w:ascii="Arial" w:eastAsia="Times New Roman" w:hAnsi="Arial"/>
                <w:sz w:val="18"/>
                <w:lang w:eastAsia="ja-JP"/>
              </w:rPr>
              <w:t>10</w:t>
            </w:r>
            <w:r w:rsidRPr="0088176E">
              <w:rPr>
                <w:rFonts w:ascii="Arial" w:eastAsia="Times New Roman" w:hAnsi="Arial"/>
                <w:sz w:val="18"/>
                <w:lang w:eastAsia="zh-CN"/>
              </w:rPr>
              <w:t>.</w:t>
            </w:r>
          </w:p>
        </w:tc>
      </w:tr>
      <w:tr w:rsidR="0088176E" w:rsidRPr="0088176E" w14:paraId="358A24BE" w14:textId="77777777" w:rsidTr="00F248BF">
        <w:trPr>
          <w:cantSplit/>
          <w:tblHeader/>
        </w:trPr>
        <w:tc>
          <w:tcPr>
            <w:tcW w:w="9639" w:type="dxa"/>
          </w:tcPr>
          <w:p w14:paraId="1BD4A47C"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serviceInfo</w:t>
            </w:r>
          </w:p>
          <w:p w14:paraId="47B6DC13"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Information on when the satellite will provide coverage.</w:t>
            </w:r>
          </w:p>
          <w:p w14:paraId="4D25932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bCs/>
                <w:iCs/>
                <w:kern w:val="2"/>
                <w:sz w:val="18"/>
                <w:lang w:eastAsia="ja-JP"/>
              </w:rPr>
              <w:t xml:space="preserve">E-UTRAN always configures </w:t>
            </w:r>
            <w:r w:rsidRPr="0088176E">
              <w:rPr>
                <w:rFonts w:ascii="Arial" w:eastAsia="Times New Roman" w:hAnsi="Arial"/>
                <w:bCs/>
                <w:i/>
                <w:iCs/>
                <w:kern w:val="2"/>
                <w:sz w:val="18"/>
                <w:lang w:eastAsia="ja-JP"/>
              </w:rPr>
              <w:t>tle-EphemerisParameters</w:t>
            </w:r>
            <w:r w:rsidRPr="0088176E">
              <w:rPr>
                <w:rFonts w:ascii="Arial" w:eastAsia="Times New Roman" w:hAnsi="Arial"/>
                <w:bCs/>
                <w:iCs/>
                <w:kern w:val="2"/>
                <w:sz w:val="18"/>
                <w:lang w:eastAsia="ja-JP"/>
              </w:rPr>
              <w:t xml:space="preserve"> </w:t>
            </w:r>
            <w:r w:rsidRPr="0088176E">
              <w:rPr>
                <w:rFonts w:ascii="Arial" w:eastAsia="Times New Roman" w:hAnsi="Arial"/>
                <w:sz w:val="18"/>
                <w:lang w:eastAsia="ja-JP"/>
              </w:rPr>
              <w:t xml:space="preserve">for a satellite with earth moving cell(s) and always configures </w:t>
            </w:r>
            <w:r w:rsidRPr="0088176E">
              <w:rPr>
                <w:rFonts w:ascii="Arial" w:eastAsia="Times New Roman" w:hAnsi="Arial"/>
                <w:i/>
                <w:sz w:val="18"/>
                <w:lang w:eastAsia="ja-JP"/>
              </w:rPr>
              <w:t xml:space="preserve">t-ServiceStart </w:t>
            </w:r>
            <w:r w:rsidRPr="0088176E">
              <w:rPr>
                <w:rFonts w:ascii="Arial" w:eastAsia="Times New Roman" w:hAnsi="Arial"/>
                <w:sz w:val="18"/>
                <w:lang w:eastAsia="ja-JP"/>
              </w:rPr>
              <w:t>for a quasi-earth fixed satellite.</w:t>
            </w:r>
          </w:p>
        </w:tc>
      </w:tr>
      <w:tr w:rsidR="0088176E" w:rsidRPr="0088176E" w14:paraId="4246F39F" w14:textId="77777777" w:rsidTr="00F248BF">
        <w:trPr>
          <w:cantSplit/>
        </w:trPr>
        <w:tc>
          <w:tcPr>
            <w:tcW w:w="9639" w:type="dxa"/>
            <w:tcBorders>
              <w:top w:val="single" w:sz="4" w:space="0" w:color="808080"/>
              <w:left w:val="single" w:sz="4" w:space="0" w:color="808080"/>
              <w:bottom w:val="single" w:sz="4" w:space="0" w:color="808080"/>
              <w:right w:val="single" w:sz="4" w:space="0" w:color="808080"/>
            </w:tcBorders>
          </w:tcPr>
          <w:p w14:paraId="0FB0590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tle-EphemerisParameters</w:t>
            </w:r>
          </w:p>
          <w:p w14:paraId="7B5335E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Mean values of the satellite orbital parameters based on the TLE set format for estimating in-coverage and out-of-coverage periods for a satellite with earth moving cell(s), see TS 36.304 [4].</w:t>
            </w:r>
          </w:p>
        </w:tc>
      </w:tr>
      <w:tr w:rsidR="0088176E" w:rsidRPr="0088176E" w14:paraId="248521EA" w14:textId="77777777" w:rsidTr="00F248BF">
        <w:trPr>
          <w:cantSplit/>
        </w:trPr>
        <w:tc>
          <w:tcPr>
            <w:tcW w:w="9639" w:type="dxa"/>
            <w:tcBorders>
              <w:top w:val="single" w:sz="4" w:space="0" w:color="808080"/>
              <w:left w:val="single" w:sz="4" w:space="0" w:color="808080"/>
              <w:bottom w:val="single" w:sz="4" w:space="0" w:color="808080"/>
              <w:right w:val="single" w:sz="4" w:space="0" w:color="808080"/>
            </w:tcBorders>
          </w:tcPr>
          <w:p w14:paraId="36FCF068"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en-GB"/>
              </w:rPr>
            </w:pPr>
            <w:r w:rsidRPr="0088176E">
              <w:rPr>
                <w:rFonts w:ascii="Arial" w:eastAsia="Times New Roman" w:hAnsi="Arial"/>
                <w:b/>
                <w:bCs/>
                <w:i/>
                <w:iCs/>
                <w:kern w:val="2"/>
                <w:sz w:val="18"/>
                <w:lang w:eastAsia="en-GB"/>
              </w:rPr>
              <w:t>t-ServiceStart</w:t>
            </w:r>
          </w:p>
          <w:p w14:paraId="209F90DD"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ja-JP"/>
              </w:rPr>
            </w:pPr>
            <w:r w:rsidRPr="0088176E">
              <w:rPr>
                <w:rFonts w:ascii="Arial" w:eastAsia="Times New Roman" w:hAnsi="Arial"/>
                <w:iCs/>
                <w:sz w:val="18"/>
                <w:lang w:eastAsia="en-GB"/>
              </w:rPr>
              <w:t>Time</w:t>
            </w:r>
            <w:r w:rsidRPr="0088176E">
              <w:rPr>
                <w:rFonts w:ascii="Arial" w:eastAsia="Times New Roman" w:hAnsi="Arial"/>
                <w:sz w:val="18"/>
                <w:lang w:eastAsia="ja-JP"/>
              </w:rPr>
              <w:t xml:space="preserve"> information on when the incoming satellite is going to start serving the area for quasi-earth fixed satellite.</w:t>
            </w:r>
          </w:p>
        </w:tc>
      </w:tr>
    </w:tbl>
    <w:p w14:paraId="7E397871" w14:textId="77777777" w:rsidR="00814F1E" w:rsidRPr="00357BA9" w:rsidRDefault="00814F1E" w:rsidP="00675D75">
      <w:pPr>
        <w:rPr>
          <w:rFonts w:ascii="Arial" w:hAnsi="Arial" w:cs="Arial"/>
        </w:rPr>
      </w:pPr>
    </w:p>
    <w:p w14:paraId="306CC23E" w14:textId="77777777" w:rsidR="0039482C" w:rsidRPr="00AC3CD2" w:rsidRDefault="0039482C" w:rsidP="0039482C">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Discussion</w:t>
      </w:r>
    </w:p>
    <w:p w14:paraId="4D87E5A1" w14:textId="77777777" w:rsidR="0059652E" w:rsidRDefault="0059652E" w:rsidP="007A3EC8">
      <w:pPr>
        <w:pStyle w:val="Doc-text2"/>
        <w:ind w:left="0" w:firstLine="0"/>
      </w:pPr>
      <w:bookmarkStart w:id="1" w:name="_Hlk110948367"/>
    </w:p>
    <w:p w14:paraId="16E40217" w14:textId="20354368" w:rsidR="0059652E" w:rsidRDefault="0059652E" w:rsidP="003C7D80">
      <w:pPr>
        <w:pStyle w:val="Heading2"/>
      </w:pPr>
      <w:r>
        <w:t>3.1</w:t>
      </w:r>
      <w:r>
        <w:tab/>
        <w:t>RRC_IDLE and RRC_INACTIVE</w:t>
      </w:r>
    </w:p>
    <w:p w14:paraId="1BFE1C94" w14:textId="4DE5609E" w:rsidR="00C319CE" w:rsidRDefault="007A3EC8" w:rsidP="007A3EC8">
      <w:pPr>
        <w:pStyle w:val="Doc-text2"/>
        <w:ind w:left="0" w:firstLine="0"/>
      </w:pPr>
      <w:r>
        <w:t xml:space="preserve">For NB-IoT and eMTC, </w:t>
      </w:r>
      <w:r w:rsidR="00C432F7">
        <w:t>UE unreachability period</w:t>
      </w:r>
      <w:r>
        <w:t xml:space="preserve"> prediction in RRC_IDLE and RRC_INACTIVE may provide an opportunity to save power even in R17, </w:t>
      </w:r>
      <w:r w:rsidR="00C319CE">
        <w:t xml:space="preserve">as the UE is allowed to suspend Idle mode tasks. </w:t>
      </w:r>
    </w:p>
    <w:p w14:paraId="1F8B3BDA" w14:textId="77777777" w:rsidR="00C319CE" w:rsidRDefault="00C319CE" w:rsidP="007A3EC8">
      <w:pPr>
        <w:pStyle w:val="Doc-text2"/>
        <w:ind w:left="0" w:firstLine="0"/>
      </w:pPr>
    </w:p>
    <w:p w14:paraId="053E0559" w14:textId="1F123AF4" w:rsidR="007A3EC8" w:rsidRDefault="007A3EC8" w:rsidP="007A3EC8">
      <w:pPr>
        <w:pStyle w:val="Doc-text2"/>
        <w:ind w:left="0" w:firstLine="0"/>
      </w:pPr>
      <w:r>
        <w:t xml:space="preserve">UEs may choose not to perform measurements of the serving cell or the neighbour cells during a </w:t>
      </w:r>
      <w:r w:rsidR="00C432F7">
        <w:t>UE unreachability period</w:t>
      </w:r>
      <w:r>
        <w:t xml:space="preserve">. The UE may avoid going to “any cell selection” state and start performing a scan of supported carriers/RATs during a </w:t>
      </w:r>
      <w:r w:rsidR="00C432F7">
        <w:t>UE unreachability period</w:t>
      </w:r>
      <w:r>
        <w:t xml:space="preserve">. Rather, the UE may choose to suspend measurements and reselection and rather “sleep” during the </w:t>
      </w:r>
      <w:r w:rsidR="00C432F7">
        <w:t>UE unreachability period</w:t>
      </w:r>
      <w:r>
        <w:t xml:space="preserve"> in order to save battery life. </w:t>
      </w:r>
    </w:p>
    <w:p w14:paraId="211103AB" w14:textId="07BD8CE3" w:rsidR="00C319CE" w:rsidRDefault="00C319CE" w:rsidP="007A3EC8">
      <w:pPr>
        <w:pStyle w:val="Doc-text2"/>
        <w:ind w:left="0" w:firstLine="0"/>
      </w:pPr>
    </w:p>
    <w:p w14:paraId="2322CD18" w14:textId="712FB505" w:rsidR="00C319CE" w:rsidRDefault="00C319CE" w:rsidP="00C319CE">
      <w:r>
        <w:t xml:space="preserve">The other main benefit of suspending idle mode tasks would of course be DRX/eDRX and paging monitoring. If the UE is configured with a relatively short DRX (i.e. not eDRX) then it is likely that the paging cycle is shorter than a </w:t>
      </w:r>
      <w:r w:rsidR="00C432F7">
        <w:t>UE unreachability period</w:t>
      </w:r>
      <w:r>
        <w:t xml:space="preserve">. In this case the UE should simply be allowed not to monitor the paging occasions that fall within the </w:t>
      </w:r>
      <w:r w:rsidR="00C432F7">
        <w:t>UE unreachability period</w:t>
      </w:r>
      <w:r>
        <w:t xml:space="preserve"> - this would anyway be impossible and allowing the UE to save power by avoiding trying to synchronise to a cell during this time would be beneficial. </w:t>
      </w:r>
    </w:p>
    <w:p w14:paraId="0DD2A674" w14:textId="77777777" w:rsidR="00C319CE" w:rsidRDefault="00C319CE" w:rsidP="007A3EC8">
      <w:pPr>
        <w:pStyle w:val="Doc-text2"/>
        <w:ind w:left="0" w:firstLine="0"/>
      </w:pPr>
    </w:p>
    <w:p w14:paraId="6EC59548" w14:textId="30E26D78" w:rsidR="00C319CE" w:rsidRDefault="00C319CE" w:rsidP="007A3EC8">
      <w:pPr>
        <w:pStyle w:val="Doc-text2"/>
        <w:ind w:left="0" w:firstLine="0"/>
      </w:pPr>
      <w:r>
        <w:t>In our understanding, the behaviour captured in R17 allows UE not to perform idle mode tasks, therefore this behaviour is already allowed. However, we should consider whether to clarify more explicitly.</w:t>
      </w:r>
    </w:p>
    <w:p w14:paraId="375FE2C0" w14:textId="77777777" w:rsidR="007A3EC8" w:rsidRDefault="007A3EC8" w:rsidP="007A3EC8">
      <w:pPr>
        <w:pStyle w:val="Doc-text2"/>
        <w:ind w:left="0" w:firstLine="0"/>
      </w:pPr>
    </w:p>
    <w:p w14:paraId="4D8A2B7C" w14:textId="20C8CE23" w:rsidR="00C319CE" w:rsidRDefault="007A3EC8" w:rsidP="00C319CE">
      <w:pPr>
        <w:rPr>
          <w:b/>
          <w:bCs/>
        </w:rPr>
      </w:pPr>
      <w:r w:rsidRPr="00780D2A">
        <w:rPr>
          <w:b/>
          <w:bCs/>
        </w:rPr>
        <w:t xml:space="preserve">Proposal </w:t>
      </w:r>
      <w:r w:rsidR="001C2F95">
        <w:rPr>
          <w:b/>
          <w:bCs/>
        </w:rPr>
        <w:t>1</w:t>
      </w:r>
      <w:r w:rsidRPr="00780D2A">
        <w:rPr>
          <w:b/>
          <w:bCs/>
        </w:rPr>
        <w:t xml:space="preserve">: </w:t>
      </w:r>
      <w:r w:rsidR="00AC4D67">
        <w:rPr>
          <w:b/>
          <w:bCs/>
        </w:rPr>
        <w:t xml:space="preserve">For eMTC and NB-IoT: </w:t>
      </w:r>
      <w:r w:rsidR="00C319CE">
        <w:rPr>
          <w:b/>
          <w:bCs/>
        </w:rPr>
        <w:t xml:space="preserve">A UE in R17 is allowed not to perform RRC_IDLE mode tasks during a </w:t>
      </w:r>
      <w:r w:rsidR="00C432F7">
        <w:rPr>
          <w:b/>
          <w:bCs/>
        </w:rPr>
        <w:t>UE unreachability period</w:t>
      </w:r>
      <w:r w:rsidR="00C319CE">
        <w:rPr>
          <w:b/>
          <w:bCs/>
        </w:rPr>
        <w:t>. Consider whether to explicitly clarify that this means that i</w:t>
      </w:r>
      <w:r w:rsidRPr="00780D2A">
        <w:rPr>
          <w:b/>
          <w:bCs/>
        </w:rPr>
        <w:t xml:space="preserve">f a UE </w:t>
      </w:r>
      <w:r>
        <w:rPr>
          <w:b/>
          <w:bCs/>
        </w:rPr>
        <w:t xml:space="preserve">in RRC_IDLE or RRC_INACTIVE </w:t>
      </w:r>
      <w:r w:rsidRPr="00780D2A">
        <w:rPr>
          <w:b/>
          <w:bCs/>
        </w:rPr>
        <w:t xml:space="preserve">determines it is in a </w:t>
      </w:r>
      <w:r w:rsidR="00C432F7">
        <w:rPr>
          <w:b/>
          <w:bCs/>
        </w:rPr>
        <w:t>UE unreachability period</w:t>
      </w:r>
      <w:r w:rsidRPr="00780D2A">
        <w:rPr>
          <w:b/>
          <w:bCs/>
        </w:rPr>
        <w:t>, the UE may choose not to perform measurements of the serving cell or neighbour cells, and may postpone moving to “any cell selection” state</w:t>
      </w:r>
      <w:r w:rsidR="00C319CE">
        <w:rPr>
          <w:b/>
          <w:bCs/>
        </w:rPr>
        <w:t>, and is</w:t>
      </w:r>
      <w:r w:rsidR="00C319CE" w:rsidRPr="00036777">
        <w:rPr>
          <w:b/>
          <w:bCs/>
        </w:rPr>
        <w:t xml:space="preserve"> allowed not to </w:t>
      </w:r>
      <w:r w:rsidR="00C319CE">
        <w:rPr>
          <w:b/>
          <w:bCs/>
        </w:rPr>
        <w:t xml:space="preserve">attempt to </w:t>
      </w:r>
      <w:r w:rsidR="00C319CE" w:rsidRPr="00036777">
        <w:rPr>
          <w:b/>
          <w:bCs/>
        </w:rPr>
        <w:t xml:space="preserve">monitor paging occasions </w:t>
      </w:r>
      <w:r w:rsidR="00C319CE">
        <w:rPr>
          <w:b/>
          <w:bCs/>
        </w:rPr>
        <w:t>which</w:t>
      </w:r>
      <w:r w:rsidR="00C319CE" w:rsidRPr="00036777">
        <w:rPr>
          <w:b/>
          <w:bCs/>
        </w:rPr>
        <w:t xml:space="preserve"> occur during a </w:t>
      </w:r>
      <w:r w:rsidR="00C432F7">
        <w:rPr>
          <w:b/>
          <w:bCs/>
        </w:rPr>
        <w:t>UE unreachability period</w:t>
      </w:r>
      <w:r w:rsidR="00C319CE" w:rsidRPr="00036777">
        <w:rPr>
          <w:b/>
          <w:bCs/>
        </w:rPr>
        <w:t>.</w:t>
      </w:r>
    </w:p>
    <w:p w14:paraId="1166770A" w14:textId="77777777" w:rsidR="007A3EC8" w:rsidRDefault="007A3EC8" w:rsidP="007A3EC8">
      <w:pPr>
        <w:rPr>
          <w:b/>
          <w:bCs/>
        </w:rPr>
      </w:pPr>
    </w:p>
    <w:p w14:paraId="268A4BD0" w14:textId="1AA83B1B" w:rsidR="00513821" w:rsidRDefault="00513821" w:rsidP="00513821">
      <w:pPr>
        <w:pStyle w:val="Heading2"/>
      </w:pPr>
      <w:r>
        <w:t>3.2</w:t>
      </w:r>
      <w:r>
        <w:tab/>
        <w:t>Paging</w:t>
      </w:r>
    </w:p>
    <w:p w14:paraId="38023DAE" w14:textId="5DA5E1C8" w:rsidR="00902A68" w:rsidRDefault="00902A68" w:rsidP="007A3EC8">
      <w:r>
        <w:t>According to SA2</w:t>
      </w:r>
      <w:r w:rsidR="00BC7592">
        <w:t xml:space="preserve"> </w:t>
      </w:r>
      <w:r w:rsidR="00BC7592" w:rsidRPr="00A270E2">
        <w:rPr>
          <w:lang w:val="en-US"/>
        </w:rPr>
        <w:fldChar w:fldCharType="begin"/>
      </w:r>
      <w:r w:rsidR="00BC7592" w:rsidRPr="00A270E2">
        <w:rPr>
          <w:lang w:val="en-US"/>
        </w:rPr>
        <w:instrText xml:space="preserve"> REF _Ref127365523 \r \h </w:instrText>
      </w:r>
      <w:r w:rsidR="00BC7592">
        <w:rPr>
          <w:lang w:val="en-US"/>
        </w:rPr>
        <w:instrText xml:space="preserve"> \* MERGEFORMAT </w:instrText>
      </w:r>
      <w:r w:rsidR="00BC7592" w:rsidRPr="00A270E2">
        <w:rPr>
          <w:lang w:val="en-US"/>
        </w:rPr>
      </w:r>
      <w:r w:rsidR="00BC7592" w:rsidRPr="00A270E2">
        <w:rPr>
          <w:lang w:val="en-US"/>
        </w:rPr>
        <w:fldChar w:fldCharType="separate"/>
      </w:r>
      <w:r w:rsidR="00BC7592" w:rsidRPr="00A270E2">
        <w:rPr>
          <w:lang w:val="en-US"/>
        </w:rPr>
        <w:t>[2]</w:t>
      </w:r>
      <w:r w:rsidR="00BC7592" w:rsidRPr="00A270E2">
        <w:rPr>
          <w:lang w:val="en-US"/>
        </w:rPr>
        <w:fldChar w:fldCharType="end"/>
      </w:r>
      <w:r w:rsidR="00BC7592">
        <w:rPr>
          <w:lang w:val="en-US"/>
        </w:rPr>
        <w:t xml:space="preserve"> “</w:t>
      </w:r>
      <w:r w:rsidRPr="00902A68">
        <w:t>The AMF/MME configures the UEs mobility management and Power saving mode (PSM) parameters and sends the MICO/PSM parameters to UE before the satellite discontinuous coverage starts.</w:t>
      </w:r>
      <w:r w:rsidR="00443C18">
        <w:t xml:space="preserve">” </w:t>
      </w:r>
      <w:r w:rsidR="00BC7592">
        <w:t>a</w:t>
      </w:r>
      <w:r w:rsidR="00443C18">
        <w:t>nd “The mobility management and MICO/PSM parameters include</w:t>
      </w:r>
      <w:r w:rsidR="00BC7592">
        <w:t xml:space="preserve"> eDRX parameters</w:t>
      </w:r>
      <w:r w:rsidR="00443C18">
        <w:t>”</w:t>
      </w:r>
    </w:p>
    <w:p w14:paraId="3C77BF80" w14:textId="77777777" w:rsidR="00902A68" w:rsidRDefault="00902A68" w:rsidP="007A3EC8"/>
    <w:p w14:paraId="38ECC7C8" w14:textId="42E7C563" w:rsidR="00A61393" w:rsidRDefault="007A3EC8" w:rsidP="007A3EC8">
      <w:r w:rsidRPr="00036777">
        <w:t>In case the UE is configured with a long DRX (i.e. eDRX)</w:t>
      </w:r>
      <w:r>
        <w:t xml:space="preserve"> then it may be the case that the UE is configured with a paging cycle which is longer than a </w:t>
      </w:r>
      <w:r w:rsidR="00C432F7">
        <w:t>UE unreachability period</w:t>
      </w:r>
      <w:r>
        <w:t xml:space="preserve">. In some cases, the PTW may fall within the </w:t>
      </w:r>
      <w:r w:rsidR="00C432F7">
        <w:t>UE unreachability period</w:t>
      </w:r>
      <w:r>
        <w:t xml:space="preserve">, and in extreme cases e.g. when there are many relatively long </w:t>
      </w:r>
      <w:r w:rsidR="00C432F7">
        <w:t>UE unreachability period</w:t>
      </w:r>
      <w:r>
        <w:t xml:space="preserve">s this may result in the UE being unreachable for long periods of time (i.e. much longer than the configured eDRX cycle due to missed PTWs). It may be possible by configuration to avoid this some of the time, however this may not be possible in all cases. </w:t>
      </w:r>
    </w:p>
    <w:p w14:paraId="0427C723" w14:textId="77777777" w:rsidR="00A61393" w:rsidRDefault="00A61393" w:rsidP="007A3EC8"/>
    <w:p w14:paraId="3ADD54BC" w14:textId="59B46D3F" w:rsidR="00A2399B" w:rsidRDefault="00A2399B" w:rsidP="007A3EC8">
      <w:pPr>
        <w:rPr>
          <w:rFonts w:asciiTheme="minorHAnsi" w:eastAsia="Malgun Gothic" w:hAnsiTheme="minorHAnsi" w:cstheme="minorHAnsi"/>
          <w:lang w:val="en-US" w:eastAsia="en-GB"/>
        </w:rPr>
      </w:pPr>
      <w:r>
        <w:t xml:space="preserve">In the last meeting, it was agreed based on </w:t>
      </w:r>
      <w:r>
        <w:fldChar w:fldCharType="begin"/>
      </w:r>
      <w:r>
        <w:instrText xml:space="preserve"> REF _Ref131666431 \r \h </w:instrText>
      </w:r>
      <w:r>
        <w:fldChar w:fldCharType="separate"/>
      </w:r>
      <w:r>
        <w:t>[3]</w:t>
      </w:r>
      <w:r>
        <w:fldChar w:fldCharType="end"/>
      </w:r>
      <w:r>
        <w:t xml:space="preserve">, </w:t>
      </w:r>
      <w:r>
        <w:fldChar w:fldCharType="begin"/>
      </w:r>
      <w:r>
        <w:instrText xml:space="preserve"> REF _Ref131666434 \r \h </w:instrText>
      </w:r>
      <w:r>
        <w:fldChar w:fldCharType="separate"/>
      </w:r>
      <w:r>
        <w:t>[4]</w:t>
      </w:r>
      <w:r>
        <w:fldChar w:fldCharType="end"/>
      </w:r>
      <w:r>
        <w:t xml:space="preserve">, </w:t>
      </w:r>
      <w:r>
        <w:fldChar w:fldCharType="begin"/>
      </w:r>
      <w:r>
        <w:instrText xml:space="preserve"> REF _Ref131666435 \r \h </w:instrText>
      </w:r>
      <w:r>
        <w:fldChar w:fldCharType="separate"/>
      </w:r>
      <w:r>
        <w:t>[5]</w:t>
      </w:r>
      <w:r>
        <w:fldChar w:fldCharType="end"/>
      </w:r>
      <w:r>
        <w:t xml:space="preserve">, </w:t>
      </w:r>
      <w:r>
        <w:fldChar w:fldCharType="begin"/>
      </w:r>
      <w:r>
        <w:instrText xml:space="preserve"> REF _Ref131666437 \r \h </w:instrText>
      </w:r>
      <w:r>
        <w:fldChar w:fldCharType="separate"/>
      </w:r>
      <w:r>
        <w:t>[6]</w:t>
      </w:r>
      <w:r>
        <w:fldChar w:fldCharType="end"/>
      </w:r>
      <w:r>
        <w:t xml:space="preserve">, </w:t>
      </w:r>
      <w:r>
        <w:fldChar w:fldCharType="begin"/>
      </w:r>
      <w:r>
        <w:instrText xml:space="preserve"> REF _Ref131666438 \r \h </w:instrText>
      </w:r>
      <w:r>
        <w:fldChar w:fldCharType="separate"/>
      </w:r>
      <w:r>
        <w:t>[7]</w:t>
      </w:r>
      <w:r>
        <w:fldChar w:fldCharType="end"/>
      </w:r>
      <w:r>
        <w:t xml:space="preserve">, that </w:t>
      </w:r>
      <w:r w:rsidRPr="001F2E10">
        <w:rPr>
          <w:rFonts w:asciiTheme="minorHAnsi" w:eastAsia="Malgun Gothic" w:hAnsiTheme="minorHAnsi" w:cstheme="minorHAnsi"/>
          <w:lang w:val="en-US" w:eastAsia="en-GB"/>
        </w:rPr>
        <w:t xml:space="preserve">RAN2 will support enhancements in paging and eDRX, in alignment with the work in SA2 and CT1. </w:t>
      </w:r>
      <w:r>
        <w:rPr>
          <w:rFonts w:asciiTheme="minorHAnsi" w:eastAsia="Malgun Gothic" w:hAnsiTheme="minorHAnsi" w:cstheme="minorHAnsi"/>
          <w:lang w:val="en-US" w:eastAsia="en-GB"/>
        </w:rPr>
        <w:t>The details are FFS.</w:t>
      </w:r>
    </w:p>
    <w:p w14:paraId="574E181E" w14:textId="77777777" w:rsidR="00A2399B" w:rsidRDefault="00A2399B" w:rsidP="007A3EC8">
      <w:pPr>
        <w:rPr>
          <w:rFonts w:asciiTheme="minorHAnsi" w:eastAsia="Malgun Gothic" w:hAnsiTheme="minorHAnsi" w:cstheme="minorHAnsi"/>
          <w:lang w:val="en-US" w:eastAsia="en-GB"/>
        </w:rPr>
      </w:pPr>
    </w:p>
    <w:p w14:paraId="15DBC855" w14:textId="170D2FD9" w:rsidR="00A2399B" w:rsidRDefault="007A3EC8" w:rsidP="007A3EC8">
      <w:r>
        <w:t xml:space="preserve">We should consider </w:t>
      </w:r>
      <w:r w:rsidR="00A2399B">
        <w:t xml:space="preserve">how </w:t>
      </w:r>
      <w:r>
        <w:t xml:space="preserve">the PTW should be updated for UEs which would have no usable PTW during an eDRX cycle – for example, if the PTW falls within a </w:t>
      </w:r>
      <w:r w:rsidR="00C432F7">
        <w:t>UE unreachability period</w:t>
      </w:r>
      <w:r>
        <w:t xml:space="preserve">, to monitor for paging before or after the </w:t>
      </w:r>
      <w:r w:rsidR="00C432F7">
        <w:t>UE unreachability period</w:t>
      </w:r>
      <w:r>
        <w:t xml:space="preserve">. </w:t>
      </w:r>
    </w:p>
    <w:p w14:paraId="5D52D6B0" w14:textId="77777777" w:rsidR="00A2399B" w:rsidRDefault="00A2399B" w:rsidP="007A3EC8"/>
    <w:p w14:paraId="372DB6CE" w14:textId="7C66958C" w:rsidR="00CA1901" w:rsidRDefault="00353E5A" w:rsidP="007A3EC8">
      <w:r>
        <w:t>P</w:t>
      </w:r>
      <w:r w:rsidR="00CA1901">
        <w:t xml:space="preserve">roposed </w:t>
      </w:r>
      <w:r>
        <w:t xml:space="preserve">solutions are </w:t>
      </w:r>
      <w:r w:rsidR="00CA1901">
        <w:t xml:space="preserve">as follows: </w:t>
      </w:r>
    </w:p>
    <w:p w14:paraId="653F44BE" w14:textId="34072CD8" w:rsidR="00CA1901" w:rsidRDefault="00CA1901" w:rsidP="007A3EC8"/>
    <w:p w14:paraId="12503104" w14:textId="6F2612D9" w:rsidR="00CA1901" w:rsidRPr="00920D96" w:rsidRDefault="00915524" w:rsidP="00CA1901">
      <w:pPr>
        <w:pStyle w:val="ListParagraph"/>
        <w:numPr>
          <w:ilvl w:val="0"/>
          <w:numId w:val="27"/>
        </w:numPr>
        <w:rPr>
          <w:rFonts w:ascii="Times New Roman" w:hAnsi="Times New Roman"/>
          <w:sz w:val="20"/>
          <w:szCs w:val="20"/>
        </w:rPr>
      </w:pPr>
      <w:r w:rsidRPr="00920D96">
        <w:rPr>
          <w:rFonts w:ascii="Times New Roman" w:eastAsia="Malgun Gothic" w:hAnsi="Times New Roman"/>
          <w:sz w:val="20"/>
          <w:szCs w:val="20"/>
        </w:rPr>
        <w:t xml:space="preserve">PTW should be aligned with the time duration of coverage </w:t>
      </w:r>
      <w:r w:rsidRPr="00920D96">
        <w:rPr>
          <w:rFonts w:ascii="Times New Roman" w:hAnsi="Times New Roman"/>
          <w:sz w:val="20"/>
          <w:szCs w:val="20"/>
        </w:rPr>
        <w:fldChar w:fldCharType="begin"/>
      </w:r>
      <w:r w:rsidRPr="00920D96">
        <w:rPr>
          <w:rFonts w:ascii="Times New Roman" w:hAnsi="Times New Roman"/>
          <w:sz w:val="20"/>
          <w:szCs w:val="20"/>
        </w:rPr>
        <w:instrText xml:space="preserve"> REF _Ref131666431 \r \h </w:instrText>
      </w:r>
      <w:r w:rsidRPr="00920D96">
        <w:rPr>
          <w:rFonts w:ascii="Times New Roman" w:hAnsi="Times New Roman"/>
          <w:sz w:val="20"/>
          <w:szCs w:val="20"/>
        </w:rPr>
      </w:r>
      <w:r w:rsidR="00920D96" w:rsidRPr="00920D96">
        <w:rPr>
          <w:rFonts w:ascii="Times New Roman" w:hAnsi="Times New Roman"/>
          <w:sz w:val="20"/>
          <w:szCs w:val="20"/>
        </w:rPr>
        <w:instrText xml:space="preserve"> \* MERGEFORMAT </w:instrText>
      </w:r>
      <w:r w:rsidRPr="00920D96">
        <w:rPr>
          <w:rFonts w:ascii="Times New Roman" w:hAnsi="Times New Roman"/>
          <w:sz w:val="20"/>
          <w:szCs w:val="20"/>
        </w:rPr>
        <w:fldChar w:fldCharType="separate"/>
      </w:r>
      <w:r w:rsidRPr="00920D96">
        <w:rPr>
          <w:rFonts w:ascii="Times New Roman" w:hAnsi="Times New Roman"/>
          <w:sz w:val="20"/>
          <w:szCs w:val="20"/>
        </w:rPr>
        <w:t>[3]</w:t>
      </w:r>
      <w:r w:rsidRPr="00920D96">
        <w:rPr>
          <w:rFonts w:ascii="Times New Roman" w:hAnsi="Times New Roman"/>
          <w:sz w:val="20"/>
          <w:szCs w:val="20"/>
        </w:rPr>
        <w:fldChar w:fldCharType="end"/>
      </w:r>
    </w:p>
    <w:p w14:paraId="5773EBD2" w14:textId="22ADF38A" w:rsidR="0031071E" w:rsidRPr="00920D96" w:rsidRDefault="0031071E" w:rsidP="00CA1901">
      <w:pPr>
        <w:pStyle w:val="ListParagraph"/>
        <w:numPr>
          <w:ilvl w:val="0"/>
          <w:numId w:val="27"/>
        </w:numPr>
        <w:rPr>
          <w:rFonts w:ascii="Times New Roman" w:hAnsi="Times New Roman"/>
          <w:sz w:val="20"/>
          <w:szCs w:val="20"/>
        </w:rPr>
      </w:pPr>
      <w:r w:rsidRPr="00920D96">
        <w:rPr>
          <w:rFonts w:ascii="Times New Roman" w:eastAsia="Malgun Gothic" w:hAnsi="Times New Roman"/>
          <w:sz w:val="20"/>
          <w:szCs w:val="20"/>
        </w:rPr>
        <w:t xml:space="preserve">Alt 1: Early wake up before/late sleep after PTW </w:t>
      </w:r>
      <w:r w:rsidRPr="00920D96">
        <w:rPr>
          <w:rFonts w:ascii="Times New Roman" w:hAnsi="Times New Roman"/>
          <w:sz w:val="20"/>
          <w:szCs w:val="20"/>
        </w:rPr>
        <w:fldChar w:fldCharType="begin"/>
      </w:r>
      <w:r w:rsidRPr="00920D96">
        <w:rPr>
          <w:rFonts w:ascii="Times New Roman" w:hAnsi="Times New Roman"/>
          <w:sz w:val="20"/>
          <w:szCs w:val="20"/>
        </w:rPr>
        <w:instrText xml:space="preserve"> REF _Ref131666434 \r \h </w:instrText>
      </w:r>
      <w:r w:rsidRPr="00920D96">
        <w:rPr>
          <w:rFonts w:ascii="Times New Roman" w:hAnsi="Times New Roman"/>
          <w:sz w:val="20"/>
          <w:szCs w:val="20"/>
        </w:rPr>
      </w:r>
      <w:r w:rsidR="00920D96" w:rsidRPr="00920D96">
        <w:rPr>
          <w:rFonts w:ascii="Times New Roman" w:hAnsi="Times New Roman"/>
          <w:sz w:val="20"/>
          <w:szCs w:val="20"/>
        </w:rPr>
        <w:instrText xml:space="preserve"> \* MERGEFORMAT </w:instrText>
      </w:r>
      <w:r w:rsidRPr="00920D96">
        <w:rPr>
          <w:rFonts w:ascii="Times New Roman" w:hAnsi="Times New Roman"/>
          <w:sz w:val="20"/>
          <w:szCs w:val="20"/>
        </w:rPr>
        <w:fldChar w:fldCharType="separate"/>
      </w:r>
      <w:r w:rsidRPr="00920D96">
        <w:rPr>
          <w:rFonts w:ascii="Times New Roman" w:hAnsi="Times New Roman"/>
          <w:sz w:val="20"/>
          <w:szCs w:val="20"/>
        </w:rPr>
        <w:t>[4]</w:t>
      </w:r>
      <w:r w:rsidRPr="00920D96">
        <w:rPr>
          <w:rFonts w:ascii="Times New Roman" w:hAnsi="Times New Roman"/>
          <w:sz w:val="20"/>
          <w:szCs w:val="20"/>
        </w:rPr>
        <w:fldChar w:fldCharType="end"/>
      </w:r>
    </w:p>
    <w:p w14:paraId="5DC0C9D7" w14:textId="0664AD68" w:rsidR="00915524" w:rsidRPr="00920D96" w:rsidRDefault="0031071E" w:rsidP="00CA1901">
      <w:pPr>
        <w:pStyle w:val="ListParagraph"/>
        <w:numPr>
          <w:ilvl w:val="0"/>
          <w:numId w:val="27"/>
        </w:numPr>
        <w:rPr>
          <w:rFonts w:ascii="Times New Roman" w:hAnsi="Times New Roman"/>
          <w:sz w:val="20"/>
          <w:szCs w:val="20"/>
        </w:rPr>
      </w:pPr>
      <w:r w:rsidRPr="00920D96">
        <w:rPr>
          <w:rFonts w:ascii="Times New Roman" w:eastAsia="Malgun Gothic" w:hAnsi="Times New Roman"/>
          <w:sz w:val="20"/>
          <w:szCs w:val="20"/>
        </w:rPr>
        <w:t xml:space="preserve">Alt 2: Adjustment of PTW </w:t>
      </w:r>
      <w:r w:rsidRPr="00920D96">
        <w:rPr>
          <w:rFonts w:ascii="Times New Roman" w:hAnsi="Times New Roman"/>
          <w:sz w:val="20"/>
          <w:szCs w:val="20"/>
        </w:rPr>
        <w:fldChar w:fldCharType="begin"/>
      </w:r>
      <w:r w:rsidRPr="00920D96">
        <w:rPr>
          <w:rFonts w:ascii="Times New Roman" w:hAnsi="Times New Roman"/>
          <w:sz w:val="20"/>
          <w:szCs w:val="20"/>
        </w:rPr>
        <w:instrText xml:space="preserve"> REF _Ref131666434 \r \h </w:instrText>
      </w:r>
      <w:r w:rsidRPr="00920D96">
        <w:rPr>
          <w:rFonts w:ascii="Times New Roman" w:hAnsi="Times New Roman"/>
          <w:sz w:val="20"/>
          <w:szCs w:val="20"/>
        </w:rPr>
      </w:r>
      <w:r w:rsidR="00920D96" w:rsidRPr="00920D96">
        <w:rPr>
          <w:rFonts w:ascii="Times New Roman" w:hAnsi="Times New Roman"/>
          <w:sz w:val="20"/>
          <w:szCs w:val="20"/>
        </w:rPr>
        <w:instrText xml:space="preserve"> \* MERGEFORMAT </w:instrText>
      </w:r>
      <w:r w:rsidRPr="00920D96">
        <w:rPr>
          <w:rFonts w:ascii="Times New Roman" w:hAnsi="Times New Roman"/>
          <w:sz w:val="20"/>
          <w:szCs w:val="20"/>
        </w:rPr>
        <w:fldChar w:fldCharType="separate"/>
      </w:r>
      <w:r w:rsidRPr="00920D96">
        <w:rPr>
          <w:rFonts w:ascii="Times New Roman" w:hAnsi="Times New Roman"/>
          <w:sz w:val="20"/>
          <w:szCs w:val="20"/>
        </w:rPr>
        <w:t>[4]</w:t>
      </w:r>
      <w:r w:rsidRPr="00920D96">
        <w:rPr>
          <w:rFonts w:ascii="Times New Roman" w:hAnsi="Times New Roman"/>
          <w:sz w:val="20"/>
          <w:szCs w:val="20"/>
        </w:rPr>
        <w:fldChar w:fldCharType="end"/>
      </w:r>
    </w:p>
    <w:p w14:paraId="296E406C" w14:textId="5F5D3211" w:rsidR="0031071E" w:rsidRPr="00920D96" w:rsidRDefault="00890C96" w:rsidP="00CA1901">
      <w:pPr>
        <w:pStyle w:val="ListParagraph"/>
        <w:numPr>
          <w:ilvl w:val="0"/>
          <w:numId w:val="27"/>
        </w:numPr>
        <w:rPr>
          <w:rFonts w:ascii="Times New Roman" w:hAnsi="Times New Roman"/>
          <w:sz w:val="20"/>
          <w:szCs w:val="20"/>
        </w:rPr>
      </w:pPr>
      <w:r w:rsidRPr="00920D96">
        <w:rPr>
          <w:rFonts w:ascii="Times New Roman" w:eastAsia="Malgun Gothic" w:hAnsi="Times New Roman"/>
          <w:sz w:val="20"/>
          <w:szCs w:val="20"/>
        </w:rPr>
        <w:t xml:space="preserve">configurable offset to shift the starting time of PTW </w:t>
      </w:r>
      <w:r w:rsidRPr="00920D96">
        <w:rPr>
          <w:rFonts w:ascii="Times New Roman" w:hAnsi="Times New Roman"/>
          <w:sz w:val="20"/>
          <w:szCs w:val="20"/>
        </w:rPr>
        <w:fldChar w:fldCharType="begin"/>
      </w:r>
      <w:r w:rsidRPr="00920D96">
        <w:rPr>
          <w:rFonts w:ascii="Times New Roman" w:hAnsi="Times New Roman"/>
          <w:sz w:val="20"/>
          <w:szCs w:val="20"/>
        </w:rPr>
        <w:instrText xml:space="preserve"> REF _Ref131666435 \r \h </w:instrText>
      </w:r>
      <w:r w:rsidRPr="00920D96">
        <w:rPr>
          <w:rFonts w:ascii="Times New Roman" w:hAnsi="Times New Roman"/>
          <w:sz w:val="20"/>
          <w:szCs w:val="20"/>
        </w:rPr>
      </w:r>
      <w:r w:rsidR="00920D96" w:rsidRPr="00920D96">
        <w:rPr>
          <w:rFonts w:ascii="Times New Roman" w:hAnsi="Times New Roman"/>
          <w:sz w:val="20"/>
          <w:szCs w:val="20"/>
        </w:rPr>
        <w:instrText xml:space="preserve"> \* MERGEFORMAT </w:instrText>
      </w:r>
      <w:r w:rsidRPr="00920D96">
        <w:rPr>
          <w:rFonts w:ascii="Times New Roman" w:hAnsi="Times New Roman"/>
          <w:sz w:val="20"/>
          <w:szCs w:val="20"/>
        </w:rPr>
        <w:fldChar w:fldCharType="separate"/>
      </w:r>
      <w:r w:rsidRPr="00920D96">
        <w:rPr>
          <w:rFonts w:ascii="Times New Roman" w:hAnsi="Times New Roman"/>
          <w:sz w:val="20"/>
          <w:szCs w:val="20"/>
        </w:rPr>
        <w:t>[5]</w:t>
      </w:r>
      <w:r w:rsidRPr="00920D96">
        <w:rPr>
          <w:rFonts w:ascii="Times New Roman" w:hAnsi="Times New Roman"/>
          <w:sz w:val="20"/>
          <w:szCs w:val="20"/>
        </w:rPr>
        <w:fldChar w:fldCharType="end"/>
      </w:r>
    </w:p>
    <w:p w14:paraId="1066929F" w14:textId="1556945D" w:rsidR="00890C96" w:rsidRPr="00920D96" w:rsidRDefault="00C34DFC" w:rsidP="00CA1901">
      <w:pPr>
        <w:pStyle w:val="ListParagraph"/>
        <w:numPr>
          <w:ilvl w:val="0"/>
          <w:numId w:val="27"/>
        </w:numPr>
        <w:rPr>
          <w:rFonts w:ascii="Times New Roman" w:hAnsi="Times New Roman"/>
          <w:sz w:val="20"/>
          <w:szCs w:val="20"/>
        </w:rPr>
      </w:pPr>
      <w:r w:rsidRPr="00920D96">
        <w:rPr>
          <w:rFonts w:ascii="Times New Roman" w:eastAsia="Times New Roman" w:hAnsi="Times New Roman"/>
          <w:sz w:val="20"/>
          <w:szCs w:val="20"/>
        </w:rPr>
        <w:t xml:space="preserve">Network can extend the paging before/after the coverage window if the UE does not respond to paging within the estimated coverage window/ </w:t>
      </w:r>
      <w:r w:rsidR="00CD7EB1" w:rsidRPr="00920D96">
        <w:rPr>
          <w:rFonts w:ascii="Times New Roman" w:eastAsia="Times New Roman" w:hAnsi="Times New Roman"/>
          <w:sz w:val="20"/>
          <w:szCs w:val="20"/>
        </w:rPr>
        <w:t xml:space="preserve">UE can extend the paging monitoring outside the estimated coverage window if radio coverage is available. UE may report to the network to realign the paging monitoring and coverage windows </w:t>
      </w:r>
      <w:r w:rsidR="00CD7EB1" w:rsidRPr="00920D96">
        <w:rPr>
          <w:rFonts w:ascii="Times New Roman" w:hAnsi="Times New Roman"/>
          <w:sz w:val="20"/>
          <w:szCs w:val="20"/>
        </w:rPr>
        <w:fldChar w:fldCharType="begin"/>
      </w:r>
      <w:r w:rsidR="00CD7EB1" w:rsidRPr="00920D96">
        <w:rPr>
          <w:rFonts w:ascii="Times New Roman" w:hAnsi="Times New Roman"/>
          <w:sz w:val="20"/>
          <w:szCs w:val="20"/>
        </w:rPr>
        <w:instrText xml:space="preserve"> REF _Ref131666437 \r \h </w:instrText>
      </w:r>
      <w:r w:rsidR="00CD7EB1" w:rsidRPr="00920D96">
        <w:rPr>
          <w:rFonts w:ascii="Times New Roman" w:hAnsi="Times New Roman"/>
          <w:sz w:val="20"/>
          <w:szCs w:val="20"/>
        </w:rPr>
      </w:r>
      <w:r w:rsidR="00920D96" w:rsidRPr="00920D96">
        <w:rPr>
          <w:rFonts w:ascii="Times New Roman" w:hAnsi="Times New Roman"/>
          <w:sz w:val="20"/>
          <w:szCs w:val="20"/>
        </w:rPr>
        <w:instrText xml:space="preserve"> \* MERGEFORMAT </w:instrText>
      </w:r>
      <w:r w:rsidR="00CD7EB1" w:rsidRPr="00920D96">
        <w:rPr>
          <w:rFonts w:ascii="Times New Roman" w:hAnsi="Times New Roman"/>
          <w:sz w:val="20"/>
          <w:szCs w:val="20"/>
        </w:rPr>
        <w:fldChar w:fldCharType="separate"/>
      </w:r>
      <w:r w:rsidR="00CD7EB1" w:rsidRPr="00920D96">
        <w:rPr>
          <w:rFonts w:ascii="Times New Roman" w:hAnsi="Times New Roman"/>
          <w:sz w:val="20"/>
          <w:szCs w:val="20"/>
        </w:rPr>
        <w:t>[6]</w:t>
      </w:r>
      <w:r w:rsidR="00CD7EB1" w:rsidRPr="00920D96">
        <w:rPr>
          <w:rFonts w:ascii="Times New Roman" w:hAnsi="Times New Roman"/>
          <w:sz w:val="20"/>
          <w:szCs w:val="20"/>
        </w:rPr>
        <w:fldChar w:fldCharType="end"/>
      </w:r>
    </w:p>
    <w:p w14:paraId="19198034" w14:textId="358673A0" w:rsidR="00CD7EB1" w:rsidRPr="00920D96" w:rsidRDefault="00CD7EB1" w:rsidP="00CA1901">
      <w:pPr>
        <w:pStyle w:val="ListParagraph"/>
        <w:numPr>
          <w:ilvl w:val="0"/>
          <w:numId w:val="27"/>
        </w:numPr>
        <w:rPr>
          <w:rFonts w:ascii="Times New Roman" w:hAnsi="Times New Roman"/>
          <w:sz w:val="20"/>
          <w:szCs w:val="20"/>
        </w:rPr>
      </w:pPr>
      <w:r w:rsidRPr="00920D96">
        <w:rPr>
          <w:rFonts w:ascii="Times New Roman" w:hAnsi="Times New Roman"/>
          <w:sz w:val="20"/>
          <w:szCs w:val="20"/>
        </w:rPr>
        <w:t xml:space="preserve">updating the PH and PO calculations to take into account UE unreachability periods </w:t>
      </w:r>
      <w:r w:rsidRPr="00920D96">
        <w:rPr>
          <w:rFonts w:ascii="Times New Roman" w:hAnsi="Times New Roman"/>
          <w:sz w:val="20"/>
          <w:szCs w:val="20"/>
        </w:rPr>
        <w:fldChar w:fldCharType="begin"/>
      </w:r>
      <w:r w:rsidRPr="00920D96">
        <w:rPr>
          <w:rFonts w:ascii="Times New Roman" w:hAnsi="Times New Roman"/>
          <w:sz w:val="20"/>
          <w:szCs w:val="20"/>
        </w:rPr>
        <w:instrText xml:space="preserve"> REF _Ref131666438 \r \h </w:instrText>
      </w:r>
      <w:r w:rsidRPr="00920D96">
        <w:rPr>
          <w:rFonts w:ascii="Times New Roman" w:hAnsi="Times New Roman"/>
          <w:sz w:val="20"/>
          <w:szCs w:val="20"/>
        </w:rPr>
      </w:r>
      <w:r w:rsidR="00920D96" w:rsidRPr="00920D96">
        <w:rPr>
          <w:rFonts w:ascii="Times New Roman" w:hAnsi="Times New Roman"/>
          <w:sz w:val="20"/>
          <w:szCs w:val="20"/>
        </w:rPr>
        <w:instrText xml:space="preserve"> \* MERGEFORMAT </w:instrText>
      </w:r>
      <w:r w:rsidRPr="00920D96">
        <w:rPr>
          <w:rFonts w:ascii="Times New Roman" w:hAnsi="Times New Roman"/>
          <w:sz w:val="20"/>
          <w:szCs w:val="20"/>
        </w:rPr>
        <w:fldChar w:fldCharType="separate"/>
      </w:r>
      <w:r w:rsidRPr="00920D96">
        <w:rPr>
          <w:rFonts w:ascii="Times New Roman" w:hAnsi="Times New Roman"/>
          <w:sz w:val="20"/>
          <w:szCs w:val="20"/>
        </w:rPr>
        <w:t>[7]</w:t>
      </w:r>
      <w:r w:rsidRPr="00920D96">
        <w:rPr>
          <w:rFonts w:ascii="Times New Roman" w:hAnsi="Times New Roman"/>
          <w:sz w:val="20"/>
          <w:szCs w:val="20"/>
        </w:rPr>
        <w:fldChar w:fldCharType="end"/>
      </w:r>
    </w:p>
    <w:p w14:paraId="51A38001" w14:textId="166612AC" w:rsidR="00CD7EB1" w:rsidRDefault="00CD7EB1" w:rsidP="00CD7EB1"/>
    <w:p w14:paraId="64E71BEF" w14:textId="474F622B" w:rsidR="00CD7EB1" w:rsidRDefault="009D7EFD" w:rsidP="00CD7EB1">
      <w:r>
        <w:t xml:space="preserve">Of the above proposals, all of them </w:t>
      </w:r>
      <w:r w:rsidR="00876128">
        <w:t>except for (2) propose an adjustment to the PTW</w:t>
      </w:r>
      <w:r w:rsidR="00BA0070">
        <w:t>, with UE/NW co-ordination,</w:t>
      </w:r>
      <w:r w:rsidR="00876128">
        <w:t xml:space="preserve"> to account for UE unreachability periods. </w:t>
      </w:r>
      <w:r w:rsidR="00F52F78">
        <w:t xml:space="preserve">Solution (5) seems to be partially autonomous, with some co-ordination after adjustment. </w:t>
      </w:r>
      <w:r w:rsidR="00161D69">
        <w:t>For (2)</w:t>
      </w:r>
      <w:r w:rsidR="00F77088">
        <w:t xml:space="preserve"> and (5)</w:t>
      </w:r>
      <w:r w:rsidR="00161D69">
        <w:t xml:space="preserve"> it is unclear how NW and UE will be coordinated in order that the UE is paged in the correct PTW/PO</w:t>
      </w:r>
      <w:r w:rsidR="00B6226B">
        <w:t xml:space="preserve">, since an </w:t>
      </w:r>
      <w:r w:rsidR="00BA0070">
        <w:t>autonomous</w:t>
      </w:r>
      <w:r w:rsidR="00B6226B">
        <w:t xml:space="preserve"> </w:t>
      </w:r>
      <w:r w:rsidR="00BA0070">
        <w:t xml:space="preserve">UE/NW adjustment </w:t>
      </w:r>
      <w:r w:rsidR="007112C1">
        <w:t>implies that reliable paging may not be achievable.</w:t>
      </w:r>
      <w:r w:rsidR="00F77088">
        <w:t xml:space="preserve"> However, solution (5) does implyh some level of co-ordination at least in the case the UE calculates a</w:t>
      </w:r>
      <w:r w:rsidR="00B92A3A">
        <w:t>n unreachability period.</w:t>
      </w:r>
      <w:r w:rsidR="007112C1">
        <w:t xml:space="preserve"> </w:t>
      </w:r>
      <w:r w:rsidR="00B6226B">
        <w:t xml:space="preserve">UE </w:t>
      </w:r>
      <w:r w:rsidR="00161D69">
        <w:t xml:space="preserve">Hence, as a first step we would propose the following: </w:t>
      </w:r>
    </w:p>
    <w:p w14:paraId="6D6361C0" w14:textId="75551837" w:rsidR="00161D69" w:rsidRDefault="00161D69" w:rsidP="00CD7EB1"/>
    <w:p w14:paraId="5C8EFA27" w14:textId="22FB8D56" w:rsidR="00161D69" w:rsidRPr="00920D96" w:rsidRDefault="00161D69" w:rsidP="00CD7EB1">
      <w:pPr>
        <w:rPr>
          <w:b/>
          <w:bCs/>
        </w:rPr>
      </w:pPr>
      <w:r w:rsidRPr="00920D96">
        <w:rPr>
          <w:b/>
          <w:bCs/>
        </w:rPr>
        <w:t xml:space="preserve">Proposal 2: </w:t>
      </w:r>
      <w:r w:rsidR="007112C1" w:rsidRPr="00920D96">
        <w:rPr>
          <w:b/>
          <w:bCs/>
        </w:rPr>
        <w:t xml:space="preserve">PTW can be adjusted with </w:t>
      </w:r>
      <w:r w:rsidR="00161074" w:rsidRPr="00920D96">
        <w:rPr>
          <w:b/>
          <w:bCs/>
        </w:rPr>
        <w:t>co-ordination between UE and NW to account for UE unreachability periods.</w:t>
      </w:r>
    </w:p>
    <w:p w14:paraId="2769F27D" w14:textId="781F3BC9" w:rsidR="00161074" w:rsidRDefault="00161074" w:rsidP="00CD7EB1"/>
    <w:p w14:paraId="6145732C" w14:textId="3F57A736" w:rsidR="0034336F" w:rsidRDefault="0034336F" w:rsidP="00CD7EB1">
      <w:r>
        <w:t xml:space="preserve">For most of the proposals, the detailed solution is not yet clear and we expect further details in </w:t>
      </w:r>
      <w:r w:rsidR="008F36AE">
        <w:t xml:space="preserve">this and future meetings. For now, there seem to be </w:t>
      </w:r>
      <w:r w:rsidR="00AE3904">
        <w:t>3</w:t>
      </w:r>
      <w:r w:rsidR="008F36AE">
        <w:t xml:space="preserve"> main options currently. </w:t>
      </w:r>
    </w:p>
    <w:p w14:paraId="20B6A79F" w14:textId="77777777" w:rsidR="003E01AA" w:rsidRDefault="003E01AA" w:rsidP="00CD7EB1"/>
    <w:p w14:paraId="5AC1167D" w14:textId="094CEC43" w:rsidR="008F36AE" w:rsidRPr="00920D96" w:rsidRDefault="008F36AE" w:rsidP="00CD7EB1">
      <w:pPr>
        <w:rPr>
          <w:rFonts w:eastAsia="Malgun Gothic"/>
        </w:rPr>
      </w:pPr>
      <w:r w:rsidRPr="00920D96">
        <w:rPr>
          <w:b/>
          <w:bCs/>
        </w:rPr>
        <w:t>Option 1)</w:t>
      </w:r>
      <w:r w:rsidRPr="00920D96">
        <w:t xml:space="preserve"> </w:t>
      </w:r>
      <w:r w:rsidRPr="00920D96">
        <w:rPr>
          <w:rFonts w:eastAsia="Malgun Gothic"/>
        </w:rPr>
        <w:t>configurable offset to shift the starting time of PTW</w:t>
      </w:r>
      <w:r w:rsidR="00252837" w:rsidRPr="00920D96">
        <w:rPr>
          <w:rFonts w:eastAsia="Malgun Gothic"/>
        </w:rPr>
        <w:t xml:space="preserve"> </w:t>
      </w:r>
      <w:r w:rsidR="00252837" w:rsidRPr="00920D96">
        <w:fldChar w:fldCharType="begin"/>
      </w:r>
      <w:r w:rsidR="00252837" w:rsidRPr="00920D96">
        <w:instrText xml:space="preserve"> REF _Ref131666435 \r \h </w:instrText>
      </w:r>
      <w:r w:rsidR="00920D96" w:rsidRPr="00920D96">
        <w:instrText xml:space="preserve"> \* MERGEFORMAT </w:instrText>
      </w:r>
      <w:r w:rsidR="00252837" w:rsidRPr="00920D96">
        <w:fldChar w:fldCharType="separate"/>
      </w:r>
      <w:r w:rsidR="00252837" w:rsidRPr="00920D96">
        <w:t>[5]</w:t>
      </w:r>
      <w:r w:rsidR="00252837" w:rsidRPr="00920D96">
        <w:fldChar w:fldCharType="end"/>
      </w:r>
    </w:p>
    <w:p w14:paraId="0CA222DD" w14:textId="79C2A6B5" w:rsidR="00AE3904" w:rsidRPr="00920D96" w:rsidRDefault="00AE3904" w:rsidP="00AE3904">
      <w:pPr>
        <w:pStyle w:val="ListParagraph"/>
        <w:numPr>
          <w:ilvl w:val="0"/>
          <w:numId w:val="28"/>
        </w:numPr>
        <w:rPr>
          <w:rFonts w:ascii="Times New Roman" w:eastAsia="Malgun Gothic" w:hAnsi="Times New Roman"/>
          <w:sz w:val="20"/>
          <w:szCs w:val="20"/>
        </w:rPr>
      </w:pPr>
      <w:r w:rsidRPr="00920D96">
        <w:rPr>
          <w:rFonts w:ascii="Times New Roman" w:eastAsia="Malgun Gothic" w:hAnsi="Times New Roman"/>
          <w:sz w:val="20"/>
          <w:szCs w:val="20"/>
        </w:rPr>
        <w:t xml:space="preserve">In this solution, the NW configures an offset </w:t>
      </w:r>
      <w:r w:rsidR="0012679B" w:rsidRPr="00920D96">
        <w:rPr>
          <w:rFonts w:ascii="Times New Roman" w:eastAsia="Malgun Gothic" w:hAnsi="Times New Roman"/>
          <w:sz w:val="20"/>
          <w:szCs w:val="20"/>
        </w:rPr>
        <w:t>for UE to move the PTW such that it falls within coverage.</w:t>
      </w:r>
    </w:p>
    <w:p w14:paraId="3B82675D" w14:textId="519ECF73" w:rsidR="00B92A3A" w:rsidRPr="00920D96" w:rsidRDefault="00B92A3A" w:rsidP="00AE3904">
      <w:pPr>
        <w:pStyle w:val="ListParagraph"/>
        <w:numPr>
          <w:ilvl w:val="0"/>
          <w:numId w:val="28"/>
        </w:numPr>
        <w:rPr>
          <w:rFonts w:ascii="Times New Roman" w:eastAsia="Malgun Gothic" w:hAnsi="Times New Roman"/>
          <w:sz w:val="20"/>
          <w:szCs w:val="20"/>
        </w:rPr>
      </w:pPr>
      <w:r w:rsidRPr="00920D96">
        <w:rPr>
          <w:rFonts w:ascii="Times New Roman" w:eastAsia="Malgun Gothic" w:hAnsi="Times New Roman"/>
          <w:sz w:val="20"/>
          <w:szCs w:val="20"/>
        </w:rPr>
        <w:t xml:space="preserve">For this solution, the drawback may be that </w:t>
      </w:r>
      <w:r w:rsidR="006A3C29" w:rsidRPr="00920D96">
        <w:rPr>
          <w:rFonts w:ascii="Times New Roman" w:eastAsia="Malgun Gothic" w:hAnsi="Times New Roman"/>
          <w:sz w:val="20"/>
          <w:szCs w:val="20"/>
        </w:rPr>
        <w:t xml:space="preserve">the paging load before/after the UE unreachability period would be increased since those PTWs would </w:t>
      </w:r>
      <w:r w:rsidR="00385E81" w:rsidRPr="00920D96">
        <w:rPr>
          <w:rFonts w:ascii="Times New Roman" w:eastAsia="Malgun Gothic" w:hAnsi="Times New Roman"/>
          <w:sz w:val="20"/>
          <w:szCs w:val="20"/>
        </w:rPr>
        <w:t>be used for both the UEs which would have been paged within that PTW in the case of continuous coverage, as well as the U</w:t>
      </w:r>
      <w:r w:rsidR="003E01AA" w:rsidRPr="00920D96">
        <w:rPr>
          <w:rFonts w:ascii="Times New Roman" w:eastAsia="Malgun Gothic" w:hAnsi="Times New Roman"/>
          <w:sz w:val="20"/>
          <w:szCs w:val="20"/>
        </w:rPr>
        <w:t>e</w:t>
      </w:r>
      <w:r w:rsidR="00385E81" w:rsidRPr="00920D96">
        <w:rPr>
          <w:rFonts w:ascii="Times New Roman" w:eastAsia="Malgun Gothic" w:hAnsi="Times New Roman"/>
          <w:sz w:val="20"/>
          <w:szCs w:val="20"/>
        </w:rPr>
        <w:t xml:space="preserve">s which have been shifted. In other words, </w:t>
      </w:r>
      <w:r w:rsidR="00715A7F" w:rsidRPr="00920D96">
        <w:rPr>
          <w:rFonts w:ascii="Times New Roman" w:eastAsia="Malgun Gothic" w:hAnsi="Times New Roman"/>
          <w:sz w:val="20"/>
          <w:szCs w:val="20"/>
        </w:rPr>
        <w:t>UE PTWs are not uniformly distributed based on UE-ID which will affect the overall paging capacity.</w:t>
      </w:r>
    </w:p>
    <w:p w14:paraId="54895248" w14:textId="5CCDD148" w:rsidR="00B270DD" w:rsidRDefault="00B270DD" w:rsidP="00920D96">
      <w:pPr>
        <w:pStyle w:val="ListParagraph"/>
        <w:numPr>
          <w:ilvl w:val="0"/>
          <w:numId w:val="28"/>
        </w:numPr>
        <w:rPr>
          <w:rFonts w:ascii="Times New Roman" w:eastAsia="Malgun Gothic" w:hAnsi="Times New Roman"/>
          <w:sz w:val="20"/>
          <w:szCs w:val="20"/>
        </w:rPr>
      </w:pPr>
      <w:r w:rsidRPr="00920D96">
        <w:rPr>
          <w:rFonts w:ascii="Times New Roman" w:eastAsia="Malgun Gothic" w:hAnsi="Times New Roman"/>
          <w:sz w:val="20"/>
          <w:szCs w:val="20"/>
        </w:rPr>
        <w:t>For this solution, dedicated signalling would be needed to provide individual UEs with the specific offset needed to adjust their PTW.</w:t>
      </w:r>
    </w:p>
    <w:p w14:paraId="5EE29F3B" w14:textId="77777777" w:rsidR="00920D96" w:rsidRPr="00920D96" w:rsidRDefault="00920D96" w:rsidP="00920D96">
      <w:pPr>
        <w:pStyle w:val="ListParagraph"/>
        <w:rPr>
          <w:rFonts w:ascii="Times New Roman" w:eastAsia="Malgun Gothic" w:hAnsi="Times New Roman"/>
          <w:sz w:val="20"/>
          <w:szCs w:val="20"/>
        </w:rPr>
      </w:pPr>
    </w:p>
    <w:p w14:paraId="7BD0CAFB" w14:textId="671071F2" w:rsidR="008F36AE" w:rsidRPr="00920D96" w:rsidRDefault="008F36AE" w:rsidP="00CD7EB1">
      <w:r w:rsidRPr="00920D96">
        <w:rPr>
          <w:rFonts w:eastAsia="Malgun Gothic"/>
          <w:b/>
          <w:bCs/>
        </w:rPr>
        <w:t>Option 2)</w:t>
      </w:r>
      <w:r w:rsidRPr="00920D96">
        <w:rPr>
          <w:rFonts w:eastAsia="Malgun Gothic"/>
        </w:rPr>
        <w:t xml:space="preserve"> </w:t>
      </w:r>
      <w:r w:rsidR="0012679B" w:rsidRPr="00920D96">
        <w:t>updating the PH and PO calculations to take into account UE unreachability periods</w:t>
      </w:r>
      <w:r w:rsidR="00252837" w:rsidRPr="00920D96">
        <w:t xml:space="preserve"> </w:t>
      </w:r>
      <w:r w:rsidR="00252837" w:rsidRPr="00920D96">
        <w:fldChar w:fldCharType="begin"/>
      </w:r>
      <w:r w:rsidR="00252837" w:rsidRPr="00920D96">
        <w:instrText xml:space="preserve"> REF _Ref131666438 \r \h </w:instrText>
      </w:r>
      <w:r w:rsidR="00920D96" w:rsidRPr="00920D96">
        <w:instrText xml:space="preserve"> \* MERGEFORMAT </w:instrText>
      </w:r>
      <w:r w:rsidR="00252837" w:rsidRPr="00920D96">
        <w:fldChar w:fldCharType="separate"/>
      </w:r>
      <w:r w:rsidR="00252837" w:rsidRPr="00920D96">
        <w:t>[7]</w:t>
      </w:r>
      <w:r w:rsidR="00252837" w:rsidRPr="00920D96">
        <w:fldChar w:fldCharType="end"/>
      </w:r>
    </w:p>
    <w:p w14:paraId="785C3C5A" w14:textId="232AD44F" w:rsidR="0012679B" w:rsidRPr="00920D96" w:rsidRDefault="0012679B" w:rsidP="0012679B">
      <w:pPr>
        <w:pStyle w:val="ListParagraph"/>
        <w:numPr>
          <w:ilvl w:val="0"/>
          <w:numId w:val="28"/>
        </w:numPr>
        <w:rPr>
          <w:rFonts w:ascii="Times New Roman" w:hAnsi="Times New Roman"/>
          <w:sz w:val="20"/>
          <w:szCs w:val="20"/>
        </w:rPr>
      </w:pPr>
      <w:r w:rsidRPr="00920D96">
        <w:rPr>
          <w:rFonts w:ascii="Times New Roman" w:hAnsi="Times New Roman"/>
          <w:sz w:val="20"/>
          <w:szCs w:val="20"/>
        </w:rPr>
        <w:t>In this solution, the</w:t>
      </w:r>
      <w:r w:rsidR="00FF7C95" w:rsidRPr="00920D96">
        <w:rPr>
          <w:rFonts w:ascii="Times New Roman" w:hAnsi="Times New Roman"/>
          <w:sz w:val="20"/>
          <w:szCs w:val="20"/>
        </w:rPr>
        <w:t xml:space="preserve"> PH and PO calculation is updated to account for UE unreachability periods</w:t>
      </w:r>
      <w:r w:rsidR="001F4191" w:rsidRPr="00920D96">
        <w:rPr>
          <w:rFonts w:ascii="Times New Roman" w:hAnsi="Times New Roman"/>
          <w:sz w:val="20"/>
          <w:szCs w:val="20"/>
        </w:rPr>
        <w:t>, such that UEs are distributed amongst the PH which are in coverage.</w:t>
      </w:r>
      <w:r w:rsidR="00FF7C95" w:rsidRPr="00920D96">
        <w:rPr>
          <w:rFonts w:ascii="Times New Roman" w:hAnsi="Times New Roman"/>
          <w:sz w:val="20"/>
          <w:szCs w:val="20"/>
        </w:rPr>
        <w:t xml:space="preserve">. </w:t>
      </w:r>
    </w:p>
    <w:p w14:paraId="02C9D06F" w14:textId="75BF4178" w:rsidR="00715A7F" w:rsidRPr="00920D96" w:rsidRDefault="00715A7F" w:rsidP="0012679B">
      <w:pPr>
        <w:pStyle w:val="ListParagraph"/>
        <w:numPr>
          <w:ilvl w:val="0"/>
          <w:numId w:val="28"/>
        </w:numPr>
        <w:rPr>
          <w:rFonts w:ascii="Times New Roman" w:hAnsi="Times New Roman"/>
          <w:sz w:val="20"/>
          <w:szCs w:val="20"/>
        </w:rPr>
      </w:pPr>
      <w:r w:rsidRPr="00920D96">
        <w:rPr>
          <w:rFonts w:ascii="Times New Roman" w:hAnsi="Times New Roman"/>
          <w:sz w:val="20"/>
          <w:szCs w:val="20"/>
        </w:rPr>
        <w:t>For this solution, U</w:t>
      </w:r>
      <w:r w:rsidR="00BC6F81" w:rsidRPr="00920D96">
        <w:rPr>
          <w:rFonts w:ascii="Times New Roman" w:hAnsi="Times New Roman"/>
          <w:sz w:val="20"/>
          <w:szCs w:val="20"/>
        </w:rPr>
        <w:t>E</w:t>
      </w:r>
      <w:r w:rsidRPr="00920D96">
        <w:rPr>
          <w:rFonts w:ascii="Times New Roman" w:hAnsi="Times New Roman"/>
          <w:sz w:val="20"/>
          <w:szCs w:val="20"/>
        </w:rPr>
        <w:t xml:space="preserve">s are distributed </w:t>
      </w:r>
      <w:r w:rsidR="00502462" w:rsidRPr="00920D96">
        <w:rPr>
          <w:rFonts w:ascii="Times New Roman" w:hAnsi="Times New Roman"/>
          <w:sz w:val="20"/>
          <w:szCs w:val="20"/>
        </w:rPr>
        <w:t>uniformly within the in-coverage PTWs</w:t>
      </w:r>
      <w:r w:rsidR="00BC6F81" w:rsidRPr="00920D96">
        <w:rPr>
          <w:rFonts w:ascii="Times New Roman" w:hAnsi="Times New Roman"/>
          <w:sz w:val="20"/>
          <w:szCs w:val="20"/>
        </w:rPr>
        <w:t>, regardless of whether their own (original) PTW falls within a coverage gap or not.</w:t>
      </w:r>
      <w:r w:rsidR="00B270DD" w:rsidRPr="00920D96">
        <w:rPr>
          <w:rFonts w:ascii="Times New Roman" w:hAnsi="Times New Roman"/>
          <w:sz w:val="20"/>
          <w:szCs w:val="20"/>
        </w:rPr>
        <w:t xml:space="preserve"> This</w:t>
      </w:r>
      <w:r w:rsidR="00502462" w:rsidRPr="00920D96">
        <w:rPr>
          <w:rFonts w:ascii="Times New Roman" w:hAnsi="Times New Roman"/>
          <w:sz w:val="20"/>
          <w:szCs w:val="20"/>
        </w:rPr>
        <w:t xml:space="preserve"> provid</w:t>
      </w:r>
      <w:r w:rsidR="00B270DD" w:rsidRPr="00920D96">
        <w:rPr>
          <w:rFonts w:ascii="Times New Roman" w:hAnsi="Times New Roman"/>
          <w:sz w:val="20"/>
          <w:szCs w:val="20"/>
        </w:rPr>
        <w:t>es</w:t>
      </w:r>
      <w:r w:rsidR="00502462" w:rsidRPr="00920D96">
        <w:rPr>
          <w:rFonts w:ascii="Times New Roman" w:hAnsi="Times New Roman"/>
          <w:sz w:val="20"/>
          <w:szCs w:val="20"/>
        </w:rPr>
        <w:t xml:space="preserve"> some paging capa</w:t>
      </w:r>
      <w:r w:rsidR="003E01AA" w:rsidRPr="00920D96">
        <w:rPr>
          <w:rFonts w:ascii="Times New Roman" w:hAnsi="Times New Roman"/>
          <w:sz w:val="20"/>
          <w:szCs w:val="20"/>
        </w:rPr>
        <w:t xml:space="preserve">city </w:t>
      </w:r>
      <w:r w:rsidR="00502462" w:rsidRPr="00920D96">
        <w:rPr>
          <w:rFonts w:ascii="Times New Roman" w:hAnsi="Times New Roman"/>
          <w:sz w:val="20"/>
          <w:szCs w:val="20"/>
        </w:rPr>
        <w:t>advantage over option 1</w:t>
      </w:r>
      <w:r w:rsidR="001F4191" w:rsidRPr="00920D96">
        <w:rPr>
          <w:rFonts w:ascii="Times New Roman" w:hAnsi="Times New Roman"/>
          <w:sz w:val="20"/>
          <w:szCs w:val="20"/>
        </w:rPr>
        <w:t xml:space="preserve"> because all PTW would be used evenly, as per legacy</w:t>
      </w:r>
      <w:r w:rsidR="00502462" w:rsidRPr="00920D96">
        <w:rPr>
          <w:rFonts w:ascii="Times New Roman" w:hAnsi="Times New Roman"/>
          <w:sz w:val="20"/>
          <w:szCs w:val="20"/>
        </w:rPr>
        <w:t>.</w:t>
      </w:r>
    </w:p>
    <w:p w14:paraId="784CB3A2" w14:textId="37037FBD" w:rsidR="00B270DD" w:rsidRDefault="00B270DD" w:rsidP="0012679B">
      <w:pPr>
        <w:pStyle w:val="ListParagraph"/>
        <w:numPr>
          <w:ilvl w:val="0"/>
          <w:numId w:val="28"/>
        </w:numPr>
        <w:rPr>
          <w:rFonts w:ascii="Times New Roman" w:hAnsi="Times New Roman"/>
          <w:sz w:val="20"/>
          <w:szCs w:val="20"/>
        </w:rPr>
      </w:pPr>
      <w:r w:rsidRPr="00920D96">
        <w:rPr>
          <w:rFonts w:ascii="Times New Roman" w:hAnsi="Times New Roman"/>
          <w:sz w:val="20"/>
          <w:szCs w:val="20"/>
        </w:rPr>
        <w:t>For this solution, since all UEs would apply the updated calculation, broadcast signalling can be used</w:t>
      </w:r>
      <w:r w:rsidR="00F26A56" w:rsidRPr="00920D96">
        <w:rPr>
          <w:rFonts w:ascii="Times New Roman" w:hAnsi="Times New Roman"/>
          <w:sz w:val="20"/>
          <w:szCs w:val="20"/>
        </w:rPr>
        <w:t xml:space="preserve"> at least for quasi-earth fixed to inform</w:t>
      </w:r>
      <w:r w:rsidR="00C7756B" w:rsidRPr="00920D96">
        <w:rPr>
          <w:rFonts w:ascii="Times New Roman" w:hAnsi="Times New Roman"/>
          <w:sz w:val="20"/>
          <w:szCs w:val="20"/>
        </w:rPr>
        <w:t xml:space="preserve"> UEs where the coverage gaps are</w:t>
      </w:r>
      <w:r w:rsidRPr="00920D96">
        <w:rPr>
          <w:rFonts w:ascii="Times New Roman" w:hAnsi="Times New Roman"/>
          <w:sz w:val="20"/>
          <w:szCs w:val="20"/>
        </w:rPr>
        <w:t>.</w:t>
      </w:r>
      <w:r w:rsidR="00C7756B" w:rsidRPr="00920D96">
        <w:rPr>
          <w:rFonts w:ascii="Times New Roman" w:hAnsi="Times New Roman"/>
          <w:sz w:val="20"/>
          <w:szCs w:val="20"/>
        </w:rPr>
        <w:t xml:space="preserve"> Dedicated signalling may be needed for earth moving cells</w:t>
      </w:r>
      <w:r w:rsidR="003B4781" w:rsidRPr="00920D96">
        <w:rPr>
          <w:rFonts w:ascii="Times New Roman" w:hAnsi="Times New Roman"/>
          <w:sz w:val="20"/>
          <w:szCs w:val="20"/>
        </w:rPr>
        <w:t xml:space="preserve">, however as per SA2 conclusion the UE includes Unreachability Period in its Registration Request, therefore </w:t>
      </w:r>
      <w:r w:rsidR="00E31CE6" w:rsidRPr="00920D96">
        <w:rPr>
          <w:rFonts w:ascii="Times New Roman" w:hAnsi="Times New Roman"/>
          <w:sz w:val="20"/>
          <w:szCs w:val="20"/>
        </w:rPr>
        <w:t>as long as the PTW update can be performed based on this then no RRC dedicated signalling would be needed.</w:t>
      </w:r>
    </w:p>
    <w:p w14:paraId="1C483F51" w14:textId="77777777" w:rsidR="00920D96" w:rsidRPr="00920D96" w:rsidRDefault="00920D96" w:rsidP="00920D96">
      <w:pPr>
        <w:pStyle w:val="ListParagraph"/>
        <w:rPr>
          <w:rFonts w:ascii="Times New Roman" w:hAnsi="Times New Roman"/>
          <w:sz w:val="20"/>
          <w:szCs w:val="20"/>
        </w:rPr>
      </w:pPr>
    </w:p>
    <w:p w14:paraId="0DDD3E8F" w14:textId="7CF0462C" w:rsidR="00FF7C95" w:rsidRPr="00920D96" w:rsidRDefault="00FF7C95" w:rsidP="00FF7C95">
      <w:r w:rsidRPr="00920D96">
        <w:rPr>
          <w:b/>
          <w:bCs/>
        </w:rPr>
        <w:t>Option 3)</w:t>
      </w:r>
      <w:r w:rsidRPr="00920D96">
        <w:t xml:space="preserve"> UE and/or NW adjust paging autonomously</w:t>
      </w:r>
      <w:r w:rsidR="00252837" w:rsidRPr="00920D96">
        <w:t xml:space="preserve">. Some co-ordination after adjustment may be performed </w:t>
      </w:r>
      <w:r w:rsidR="00252837" w:rsidRPr="00920D96">
        <w:fldChar w:fldCharType="begin"/>
      </w:r>
      <w:r w:rsidR="00252837" w:rsidRPr="00920D96">
        <w:instrText xml:space="preserve"> REF _Ref131666437 \r \h </w:instrText>
      </w:r>
      <w:r w:rsidR="00920D96" w:rsidRPr="00920D96">
        <w:instrText xml:space="preserve"> \* MERGEFORMAT </w:instrText>
      </w:r>
      <w:r w:rsidR="00252837" w:rsidRPr="00920D96">
        <w:fldChar w:fldCharType="separate"/>
      </w:r>
      <w:r w:rsidR="00252837" w:rsidRPr="00920D96">
        <w:t>[6]</w:t>
      </w:r>
      <w:r w:rsidR="00252837" w:rsidRPr="00920D96">
        <w:fldChar w:fldCharType="end"/>
      </w:r>
    </w:p>
    <w:p w14:paraId="08759E5D" w14:textId="4B250CE6" w:rsidR="00B17FF0" w:rsidRPr="00920D96" w:rsidRDefault="00B17FF0" w:rsidP="00B17FF0">
      <w:pPr>
        <w:pStyle w:val="ListParagraph"/>
        <w:numPr>
          <w:ilvl w:val="0"/>
          <w:numId w:val="28"/>
        </w:numPr>
        <w:rPr>
          <w:rFonts w:ascii="Times New Roman" w:hAnsi="Times New Roman"/>
          <w:sz w:val="20"/>
          <w:szCs w:val="20"/>
        </w:rPr>
      </w:pPr>
      <w:r w:rsidRPr="00920D96">
        <w:rPr>
          <w:rFonts w:ascii="Times New Roman" w:hAnsi="Times New Roman"/>
          <w:sz w:val="20"/>
          <w:szCs w:val="20"/>
        </w:rPr>
        <w:t>In this solution NW may retry paging outside of the PTW if it fails, UE may adjust the PTW and report to NW.</w:t>
      </w:r>
    </w:p>
    <w:p w14:paraId="676CAE5E" w14:textId="647F6EF6" w:rsidR="003E01AA" w:rsidRPr="00920D96" w:rsidRDefault="003E01AA" w:rsidP="00B17FF0">
      <w:pPr>
        <w:pStyle w:val="ListParagraph"/>
        <w:numPr>
          <w:ilvl w:val="0"/>
          <w:numId w:val="28"/>
        </w:numPr>
        <w:rPr>
          <w:rFonts w:ascii="Times New Roman" w:hAnsi="Times New Roman"/>
          <w:sz w:val="20"/>
          <w:szCs w:val="20"/>
        </w:rPr>
      </w:pPr>
      <w:r w:rsidRPr="00920D96">
        <w:rPr>
          <w:rFonts w:ascii="Times New Roman" w:hAnsi="Times New Roman"/>
          <w:sz w:val="20"/>
          <w:szCs w:val="20"/>
        </w:rPr>
        <w:t xml:space="preserve">For this solution, </w:t>
      </w:r>
      <w:r w:rsidR="00D624C9" w:rsidRPr="00920D96">
        <w:rPr>
          <w:rFonts w:ascii="Times New Roman" w:hAnsi="Times New Roman"/>
          <w:sz w:val="20"/>
          <w:szCs w:val="20"/>
        </w:rPr>
        <w:t>paging may be retried in case of failure implying an increase in paging load which would impact the overall paging capacity.</w:t>
      </w:r>
    </w:p>
    <w:p w14:paraId="07D0B4B4" w14:textId="1AB1CF1C" w:rsidR="00B270DD" w:rsidRDefault="00B270DD" w:rsidP="00920D96">
      <w:pPr>
        <w:pStyle w:val="ListParagraph"/>
        <w:numPr>
          <w:ilvl w:val="0"/>
          <w:numId w:val="28"/>
        </w:numPr>
        <w:rPr>
          <w:rFonts w:ascii="Times New Roman" w:hAnsi="Times New Roman"/>
          <w:sz w:val="20"/>
          <w:szCs w:val="20"/>
        </w:rPr>
      </w:pPr>
      <w:r w:rsidRPr="00920D96">
        <w:rPr>
          <w:rFonts w:ascii="Times New Roman" w:hAnsi="Times New Roman"/>
          <w:sz w:val="20"/>
          <w:szCs w:val="20"/>
        </w:rPr>
        <w:t>For this solution, dedicated signalling is needed</w:t>
      </w:r>
      <w:r w:rsidR="003B4781" w:rsidRPr="00920D96">
        <w:rPr>
          <w:rFonts w:ascii="Times New Roman" w:hAnsi="Times New Roman"/>
          <w:sz w:val="20"/>
          <w:szCs w:val="20"/>
        </w:rPr>
        <w:t xml:space="preserve"> to inform the NW of the UEs calculated PTW</w:t>
      </w:r>
      <w:r w:rsidR="00711018" w:rsidRPr="00920D96">
        <w:rPr>
          <w:rFonts w:ascii="Times New Roman" w:hAnsi="Times New Roman"/>
          <w:sz w:val="20"/>
          <w:szCs w:val="20"/>
        </w:rPr>
        <w:t>.</w:t>
      </w:r>
    </w:p>
    <w:p w14:paraId="32631FFE" w14:textId="77777777" w:rsidR="00920D96" w:rsidRPr="00920D96" w:rsidRDefault="00920D96" w:rsidP="00920D96">
      <w:pPr>
        <w:pStyle w:val="ListParagraph"/>
        <w:rPr>
          <w:rFonts w:ascii="Times New Roman" w:hAnsi="Times New Roman"/>
          <w:sz w:val="20"/>
          <w:szCs w:val="20"/>
        </w:rPr>
      </w:pPr>
    </w:p>
    <w:p w14:paraId="5A4BC821" w14:textId="590B096C" w:rsidR="00252837" w:rsidRPr="00920D96" w:rsidRDefault="00252837" w:rsidP="00FF7C95">
      <w:r w:rsidRPr="00920D96">
        <w:rPr>
          <w:b/>
          <w:bCs/>
        </w:rPr>
        <w:t>Option 4</w:t>
      </w:r>
      <w:r w:rsidR="003E01AA" w:rsidRPr="00920D96">
        <w:rPr>
          <w:b/>
          <w:bCs/>
        </w:rPr>
        <w:t>?</w:t>
      </w:r>
      <w:r w:rsidRPr="00920D96">
        <w:rPr>
          <w:b/>
          <w:bCs/>
        </w:rPr>
        <w:t>)</w:t>
      </w:r>
      <w:r w:rsidRPr="00920D96">
        <w:t xml:space="preserve"> FFS – not clear from </w:t>
      </w:r>
      <w:r w:rsidR="00B17FF0" w:rsidRPr="00920D96">
        <w:t>previous contributions.</w:t>
      </w:r>
    </w:p>
    <w:p w14:paraId="0D8349AB" w14:textId="4D85DB3A" w:rsidR="00B17FF0" w:rsidRDefault="00B17FF0" w:rsidP="00FF7C95"/>
    <w:p w14:paraId="2338248D" w14:textId="42A30DF4" w:rsidR="00711018" w:rsidRDefault="00711018" w:rsidP="00FF7C95">
      <w:r>
        <w:t>The following table summarises the comparison between solutions so far.</w:t>
      </w:r>
    </w:p>
    <w:p w14:paraId="045B32FE" w14:textId="7EEE5AB6" w:rsidR="00711018" w:rsidRDefault="00711018" w:rsidP="00FF7C95"/>
    <w:tbl>
      <w:tblPr>
        <w:tblStyle w:val="TableGrid"/>
        <w:tblW w:w="0" w:type="auto"/>
        <w:tblLook w:val="04A0" w:firstRow="1" w:lastRow="0" w:firstColumn="1" w:lastColumn="0" w:noHBand="0" w:noVBand="1"/>
      </w:tblPr>
      <w:tblGrid>
        <w:gridCol w:w="2407"/>
        <w:gridCol w:w="2407"/>
        <w:gridCol w:w="2407"/>
        <w:gridCol w:w="2408"/>
      </w:tblGrid>
      <w:tr w:rsidR="00A255DE" w14:paraId="084E55EB" w14:textId="77777777" w:rsidTr="00A255DE">
        <w:tc>
          <w:tcPr>
            <w:tcW w:w="2407" w:type="dxa"/>
          </w:tcPr>
          <w:p w14:paraId="33324522" w14:textId="77777777" w:rsidR="00A255DE" w:rsidRDefault="00A255DE" w:rsidP="00FF7C95"/>
        </w:tc>
        <w:tc>
          <w:tcPr>
            <w:tcW w:w="2407" w:type="dxa"/>
          </w:tcPr>
          <w:p w14:paraId="2A92EC6A" w14:textId="5282E529" w:rsidR="00A255DE" w:rsidRPr="00920D96" w:rsidRDefault="00A255DE" w:rsidP="00FF7C95">
            <w:pPr>
              <w:rPr>
                <w:b/>
                <w:bCs/>
              </w:rPr>
            </w:pPr>
            <w:r w:rsidRPr="00920D96">
              <w:rPr>
                <w:b/>
                <w:bCs/>
              </w:rPr>
              <w:t>Deterministic PTW/PO</w:t>
            </w:r>
          </w:p>
        </w:tc>
        <w:tc>
          <w:tcPr>
            <w:tcW w:w="2407" w:type="dxa"/>
          </w:tcPr>
          <w:p w14:paraId="618467C9" w14:textId="7D476C75" w:rsidR="00A255DE" w:rsidRPr="00920D96" w:rsidRDefault="00A255DE" w:rsidP="00FF7C95">
            <w:pPr>
              <w:rPr>
                <w:b/>
                <w:bCs/>
              </w:rPr>
            </w:pPr>
            <w:r w:rsidRPr="00920D96">
              <w:rPr>
                <w:b/>
                <w:bCs/>
              </w:rPr>
              <w:t>Broadcast/dedicated signalling</w:t>
            </w:r>
            <w:r>
              <w:rPr>
                <w:b/>
                <w:bCs/>
              </w:rPr>
              <w:t xml:space="preserve"> </w:t>
            </w:r>
          </w:p>
        </w:tc>
        <w:tc>
          <w:tcPr>
            <w:tcW w:w="2408" w:type="dxa"/>
          </w:tcPr>
          <w:p w14:paraId="2F8E7C96" w14:textId="7462B714" w:rsidR="00A255DE" w:rsidRPr="00920D96" w:rsidRDefault="00A255DE" w:rsidP="00FF7C95">
            <w:pPr>
              <w:rPr>
                <w:b/>
                <w:bCs/>
              </w:rPr>
            </w:pPr>
            <w:r w:rsidRPr="00920D96">
              <w:rPr>
                <w:b/>
                <w:bCs/>
              </w:rPr>
              <w:t>Increased paging load/reduced capability</w:t>
            </w:r>
          </w:p>
        </w:tc>
      </w:tr>
      <w:tr w:rsidR="00A255DE" w14:paraId="5BE93BB3" w14:textId="77777777" w:rsidTr="00A255DE">
        <w:tc>
          <w:tcPr>
            <w:tcW w:w="2407" w:type="dxa"/>
          </w:tcPr>
          <w:p w14:paraId="4042E087" w14:textId="747A859F" w:rsidR="00A255DE" w:rsidRPr="00920D96" w:rsidRDefault="00A255DE" w:rsidP="00FF7C95">
            <w:pPr>
              <w:rPr>
                <w:b/>
                <w:bCs/>
              </w:rPr>
            </w:pPr>
            <w:r w:rsidRPr="00920D96">
              <w:rPr>
                <w:b/>
                <w:bCs/>
              </w:rPr>
              <w:t>Option 1</w:t>
            </w:r>
            <w:r>
              <w:rPr>
                <w:b/>
                <w:bCs/>
              </w:rPr>
              <w:t xml:space="preserve"> (configurable offset)</w:t>
            </w:r>
          </w:p>
        </w:tc>
        <w:tc>
          <w:tcPr>
            <w:tcW w:w="2407" w:type="dxa"/>
          </w:tcPr>
          <w:p w14:paraId="60AC71CF" w14:textId="4F9A9A28" w:rsidR="00A255DE" w:rsidRDefault="00A255DE" w:rsidP="00FF7C95">
            <w:r w:rsidRPr="00920D96">
              <w:rPr>
                <w:color w:val="00B050"/>
              </w:rPr>
              <w:t>Yes</w:t>
            </w:r>
          </w:p>
        </w:tc>
        <w:tc>
          <w:tcPr>
            <w:tcW w:w="2407" w:type="dxa"/>
          </w:tcPr>
          <w:p w14:paraId="5296F913" w14:textId="22CC2E74" w:rsidR="00A255DE" w:rsidRPr="00920D96" w:rsidRDefault="00A255DE" w:rsidP="00FF7C95">
            <w:pPr>
              <w:rPr>
                <w:color w:val="FF0000"/>
              </w:rPr>
            </w:pPr>
            <w:r w:rsidRPr="00920D96">
              <w:rPr>
                <w:color w:val="FF0000"/>
              </w:rPr>
              <w:t>Dedicated</w:t>
            </w:r>
          </w:p>
        </w:tc>
        <w:tc>
          <w:tcPr>
            <w:tcW w:w="2408" w:type="dxa"/>
          </w:tcPr>
          <w:p w14:paraId="04DE36CE" w14:textId="02444025" w:rsidR="00A255DE" w:rsidRPr="00920D96" w:rsidRDefault="00A255DE" w:rsidP="00FF7C95">
            <w:pPr>
              <w:rPr>
                <w:color w:val="FF0000"/>
              </w:rPr>
            </w:pPr>
            <w:r w:rsidRPr="00920D96">
              <w:rPr>
                <w:color w:val="FF0000"/>
              </w:rPr>
              <w:t>Yes</w:t>
            </w:r>
          </w:p>
        </w:tc>
      </w:tr>
      <w:tr w:rsidR="00A255DE" w14:paraId="56D028D8" w14:textId="77777777" w:rsidTr="00A255DE">
        <w:tc>
          <w:tcPr>
            <w:tcW w:w="2407" w:type="dxa"/>
          </w:tcPr>
          <w:p w14:paraId="1DA42B14" w14:textId="50DE45E9" w:rsidR="00A255DE" w:rsidRPr="00920D96" w:rsidRDefault="00A255DE" w:rsidP="00FF7C95">
            <w:pPr>
              <w:rPr>
                <w:b/>
                <w:bCs/>
              </w:rPr>
            </w:pPr>
            <w:r w:rsidRPr="00920D96">
              <w:rPr>
                <w:b/>
                <w:bCs/>
              </w:rPr>
              <w:t>Option 2</w:t>
            </w:r>
            <w:r>
              <w:rPr>
                <w:b/>
                <w:bCs/>
              </w:rPr>
              <w:t xml:space="preserve"> (updated PTW calculation) </w:t>
            </w:r>
          </w:p>
        </w:tc>
        <w:tc>
          <w:tcPr>
            <w:tcW w:w="2407" w:type="dxa"/>
          </w:tcPr>
          <w:p w14:paraId="3E156B11" w14:textId="30A4988A" w:rsidR="00A255DE" w:rsidRPr="00920D96" w:rsidRDefault="00A255DE" w:rsidP="00FF7C95">
            <w:pPr>
              <w:rPr>
                <w:color w:val="00B050"/>
              </w:rPr>
            </w:pPr>
            <w:r w:rsidRPr="00920D96">
              <w:rPr>
                <w:color w:val="00B050"/>
              </w:rPr>
              <w:t>Yes</w:t>
            </w:r>
          </w:p>
        </w:tc>
        <w:tc>
          <w:tcPr>
            <w:tcW w:w="2407" w:type="dxa"/>
          </w:tcPr>
          <w:p w14:paraId="56B94BFB" w14:textId="1D0E2FD3" w:rsidR="00A255DE" w:rsidRPr="00920D96" w:rsidRDefault="00A255DE" w:rsidP="00FF7C95">
            <w:pPr>
              <w:rPr>
                <w:color w:val="00B050"/>
              </w:rPr>
            </w:pPr>
            <w:r w:rsidRPr="00920D96">
              <w:rPr>
                <w:color w:val="00B050"/>
              </w:rPr>
              <w:t>Broadcast</w:t>
            </w:r>
          </w:p>
        </w:tc>
        <w:tc>
          <w:tcPr>
            <w:tcW w:w="2408" w:type="dxa"/>
          </w:tcPr>
          <w:p w14:paraId="1DA4D01A" w14:textId="54231772" w:rsidR="00A255DE" w:rsidRPr="00920D96" w:rsidRDefault="00A255DE" w:rsidP="00FF7C95">
            <w:pPr>
              <w:rPr>
                <w:color w:val="00B050"/>
              </w:rPr>
            </w:pPr>
            <w:r w:rsidRPr="00920D96">
              <w:rPr>
                <w:color w:val="00B050"/>
              </w:rPr>
              <w:t>No</w:t>
            </w:r>
          </w:p>
        </w:tc>
      </w:tr>
      <w:tr w:rsidR="00A255DE" w14:paraId="0E20E4BC" w14:textId="77777777" w:rsidTr="00A255DE">
        <w:tc>
          <w:tcPr>
            <w:tcW w:w="2407" w:type="dxa"/>
          </w:tcPr>
          <w:p w14:paraId="0ABBD78A" w14:textId="5C41742B" w:rsidR="00A255DE" w:rsidRPr="00920D96" w:rsidRDefault="00A255DE" w:rsidP="00FF7C95">
            <w:pPr>
              <w:rPr>
                <w:b/>
                <w:bCs/>
                <w:lang w:val="fr-FR"/>
              </w:rPr>
            </w:pPr>
            <w:r w:rsidRPr="00920D96">
              <w:rPr>
                <w:b/>
                <w:bCs/>
                <w:lang w:val="fr-FR"/>
              </w:rPr>
              <w:t xml:space="preserve">Option 3 (UE/NW </w:t>
            </w:r>
            <w:r w:rsidRPr="00491F39">
              <w:rPr>
                <w:b/>
                <w:bCs/>
                <w:lang w:val="fr-FR"/>
              </w:rPr>
              <w:t xml:space="preserve">autonomous </w:t>
            </w:r>
            <w:r w:rsidRPr="00920D96">
              <w:rPr>
                <w:b/>
                <w:bCs/>
                <w:lang w:val="fr-FR"/>
              </w:rPr>
              <w:t>adj</w:t>
            </w:r>
            <w:r>
              <w:rPr>
                <w:b/>
                <w:bCs/>
                <w:lang w:val="fr-FR"/>
              </w:rPr>
              <w:t>ustment)</w:t>
            </w:r>
          </w:p>
        </w:tc>
        <w:tc>
          <w:tcPr>
            <w:tcW w:w="2407" w:type="dxa"/>
          </w:tcPr>
          <w:p w14:paraId="63488047" w14:textId="45FFDC8E" w:rsidR="00A255DE" w:rsidRPr="00920D96" w:rsidRDefault="00A255DE" w:rsidP="00FF7C95">
            <w:pPr>
              <w:rPr>
                <w:color w:val="FF0000"/>
              </w:rPr>
            </w:pPr>
            <w:r w:rsidRPr="00920D96">
              <w:rPr>
                <w:color w:val="FF0000"/>
              </w:rPr>
              <w:t>No</w:t>
            </w:r>
          </w:p>
        </w:tc>
        <w:tc>
          <w:tcPr>
            <w:tcW w:w="2407" w:type="dxa"/>
          </w:tcPr>
          <w:p w14:paraId="6F6E1801" w14:textId="712D5378" w:rsidR="00A255DE" w:rsidRPr="00920D96" w:rsidRDefault="00A255DE" w:rsidP="00FF7C95">
            <w:pPr>
              <w:rPr>
                <w:color w:val="FF0000"/>
              </w:rPr>
            </w:pPr>
            <w:r w:rsidRPr="00920D96">
              <w:rPr>
                <w:color w:val="FF0000"/>
              </w:rPr>
              <w:t>Dedicated</w:t>
            </w:r>
          </w:p>
        </w:tc>
        <w:tc>
          <w:tcPr>
            <w:tcW w:w="2408" w:type="dxa"/>
          </w:tcPr>
          <w:p w14:paraId="6D9BD400" w14:textId="5BB3A1CD" w:rsidR="00A255DE" w:rsidRPr="00920D96" w:rsidRDefault="00A255DE" w:rsidP="00FF7C95">
            <w:pPr>
              <w:rPr>
                <w:color w:val="FF0000"/>
              </w:rPr>
            </w:pPr>
            <w:r w:rsidRPr="00920D96">
              <w:rPr>
                <w:color w:val="FF0000"/>
              </w:rPr>
              <w:t>Yes</w:t>
            </w:r>
          </w:p>
        </w:tc>
      </w:tr>
      <w:tr w:rsidR="00A255DE" w14:paraId="7F361BCE" w14:textId="77777777" w:rsidTr="00A255DE">
        <w:tc>
          <w:tcPr>
            <w:tcW w:w="2407" w:type="dxa"/>
          </w:tcPr>
          <w:p w14:paraId="1EF3C6F5" w14:textId="24F48E9A" w:rsidR="00A255DE" w:rsidRPr="00920D96" w:rsidRDefault="00A255DE" w:rsidP="00FF7C95">
            <w:pPr>
              <w:rPr>
                <w:b/>
                <w:bCs/>
              </w:rPr>
            </w:pPr>
            <w:r w:rsidRPr="00920D96">
              <w:rPr>
                <w:b/>
                <w:bCs/>
              </w:rPr>
              <w:t>Option 4</w:t>
            </w:r>
            <w:r>
              <w:rPr>
                <w:b/>
                <w:bCs/>
              </w:rPr>
              <w:t xml:space="preserve"> ?</w:t>
            </w:r>
          </w:p>
        </w:tc>
        <w:tc>
          <w:tcPr>
            <w:tcW w:w="2407" w:type="dxa"/>
          </w:tcPr>
          <w:p w14:paraId="0924637F" w14:textId="6933D44D" w:rsidR="00A255DE" w:rsidRDefault="00A255DE" w:rsidP="00FF7C95">
            <w:r>
              <w:t>FFS</w:t>
            </w:r>
          </w:p>
        </w:tc>
        <w:tc>
          <w:tcPr>
            <w:tcW w:w="2407" w:type="dxa"/>
          </w:tcPr>
          <w:p w14:paraId="5409C558" w14:textId="35F3DF64" w:rsidR="00A255DE" w:rsidRDefault="00A255DE" w:rsidP="00FF7C95">
            <w:r>
              <w:t>FFS</w:t>
            </w:r>
          </w:p>
        </w:tc>
        <w:tc>
          <w:tcPr>
            <w:tcW w:w="2408" w:type="dxa"/>
          </w:tcPr>
          <w:p w14:paraId="15E4A261" w14:textId="09AB70AA" w:rsidR="00A255DE" w:rsidRDefault="00A255DE" w:rsidP="00FF7C95">
            <w:r>
              <w:t>FFS</w:t>
            </w:r>
          </w:p>
        </w:tc>
      </w:tr>
    </w:tbl>
    <w:p w14:paraId="191B01D7" w14:textId="77777777" w:rsidR="00711018" w:rsidRDefault="00711018" w:rsidP="00FF7C95"/>
    <w:p w14:paraId="0F137E4D" w14:textId="3A28898D" w:rsidR="007A3EC8" w:rsidRDefault="007A3EC8" w:rsidP="007A3EC8">
      <w:pPr>
        <w:rPr>
          <w:b/>
          <w:bCs/>
        </w:rPr>
      </w:pPr>
      <w:r w:rsidRPr="00B556ED">
        <w:rPr>
          <w:b/>
          <w:bCs/>
        </w:rPr>
        <w:t xml:space="preserve">Proposal </w:t>
      </w:r>
      <w:r w:rsidR="001F4191">
        <w:rPr>
          <w:b/>
          <w:bCs/>
        </w:rPr>
        <w:t>3</w:t>
      </w:r>
      <w:r w:rsidRPr="00B556ED">
        <w:rPr>
          <w:b/>
          <w:bCs/>
        </w:rPr>
        <w:t xml:space="preserve">: </w:t>
      </w:r>
      <w:r w:rsidR="001F4191">
        <w:rPr>
          <w:b/>
          <w:bCs/>
        </w:rPr>
        <w:t>RAN2 to down select between the following options for PTW adjustment:</w:t>
      </w:r>
    </w:p>
    <w:p w14:paraId="17F3A5F2" w14:textId="77777777" w:rsidR="00E31CE6" w:rsidRPr="001F2E10" w:rsidRDefault="00E31CE6" w:rsidP="00E31CE6">
      <w:pPr>
        <w:pStyle w:val="ListParagraph"/>
        <w:numPr>
          <w:ilvl w:val="0"/>
          <w:numId w:val="29"/>
        </w:numPr>
        <w:rPr>
          <w:rFonts w:ascii="Times New Roman" w:hAnsi="Times New Roman"/>
          <w:b/>
          <w:bCs/>
          <w:sz w:val="20"/>
          <w:szCs w:val="20"/>
        </w:rPr>
      </w:pPr>
      <w:r w:rsidRPr="001F2E10">
        <w:rPr>
          <w:rFonts w:ascii="Times New Roman" w:hAnsi="Times New Roman"/>
          <w:b/>
          <w:bCs/>
          <w:sz w:val="20"/>
          <w:szCs w:val="20"/>
        </w:rPr>
        <w:t>Option 1 (configurable offset)</w:t>
      </w:r>
    </w:p>
    <w:p w14:paraId="7931EF48" w14:textId="77777777" w:rsidR="00E31CE6" w:rsidRPr="001F2E10" w:rsidRDefault="00E31CE6" w:rsidP="00E31CE6">
      <w:pPr>
        <w:pStyle w:val="ListParagraph"/>
        <w:numPr>
          <w:ilvl w:val="0"/>
          <w:numId w:val="29"/>
        </w:numPr>
        <w:rPr>
          <w:rFonts w:ascii="Times New Roman" w:hAnsi="Times New Roman"/>
          <w:b/>
          <w:bCs/>
          <w:sz w:val="20"/>
          <w:szCs w:val="20"/>
        </w:rPr>
      </w:pPr>
      <w:r w:rsidRPr="001F2E10">
        <w:rPr>
          <w:rFonts w:ascii="Times New Roman" w:hAnsi="Times New Roman"/>
          <w:b/>
          <w:bCs/>
          <w:sz w:val="20"/>
          <w:szCs w:val="20"/>
        </w:rPr>
        <w:t xml:space="preserve">Option 2 (updated PTW calculation) </w:t>
      </w:r>
    </w:p>
    <w:p w14:paraId="0BB58A1B" w14:textId="77777777" w:rsidR="00E31CE6" w:rsidRPr="001F2E10" w:rsidRDefault="00E31CE6" w:rsidP="00E31CE6">
      <w:pPr>
        <w:pStyle w:val="ListParagraph"/>
        <w:numPr>
          <w:ilvl w:val="0"/>
          <w:numId w:val="29"/>
        </w:numPr>
        <w:rPr>
          <w:rFonts w:ascii="Times New Roman" w:hAnsi="Times New Roman"/>
          <w:b/>
          <w:bCs/>
          <w:sz w:val="20"/>
          <w:szCs w:val="20"/>
        </w:rPr>
      </w:pPr>
      <w:r w:rsidRPr="001F2E10">
        <w:rPr>
          <w:rFonts w:ascii="Times New Roman" w:hAnsi="Times New Roman"/>
          <w:b/>
          <w:bCs/>
          <w:sz w:val="20"/>
          <w:szCs w:val="20"/>
        </w:rPr>
        <w:t>Option 3 (UE/NW autonomous adjustment)</w:t>
      </w:r>
    </w:p>
    <w:p w14:paraId="4E7FE57B" w14:textId="77777777" w:rsidR="00E31CE6" w:rsidRPr="001F2E10" w:rsidRDefault="00E31CE6" w:rsidP="00E31CE6">
      <w:pPr>
        <w:pStyle w:val="ListParagraph"/>
        <w:numPr>
          <w:ilvl w:val="0"/>
          <w:numId w:val="29"/>
        </w:numPr>
        <w:rPr>
          <w:rFonts w:ascii="Times New Roman" w:hAnsi="Times New Roman"/>
          <w:b/>
          <w:bCs/>
          <w:sz w:val="20"/>
          <w:szCs w:val="20"/>
        </w:rPr>
      </w:pPr>
      <w:r w:rsidRPr="001F2E10">
        <w:rPr>
          <w:rFonts w:ascii="Times New Roman" w:hAnsi="Times New Roman"/>
          <w:b/>
          <w:bCs/>
          <w:sz w:val="20"/>
          <w:szCs w:val="20"/>
        </w:rPr>
        <w:t>Option 4 (other?)</w:t>
      </w:r>
    </w:p>
    <w:p w14:paraId="79E10E4F" w14:textId="77777777" w:rsidR="007A3EC8" w:rsidRDefault="007A3EC8" w:rsidP="007A3EC8">
      <w:pPr>
        <w:rPr>
          <w:b/>
          <w:bCs/>
        </w:rPr>
      </w:pPr>
    </w:p>
    <w:p w14:paraId="560B22D4" w14:textId="4185172A" w:rsidR="0059652E" w:rsidRDefault="0059652E" w:rsidP="0059652E">
      <w:pPr>
        <w:pStyle w:val="Heading2"/>
      </w:pPr>
      <w:r>
        <w:t>3.</w:t>
      </w:r>
      <w:r w:rsidR="00E91B54">
        <w:t>2</w:t>
      </w:r>
      <w:r>
        <w:tab/>
        <w:t>RLM, RLF</w:t>
      </w:r>
    </w:p>
    <w:p w14:paraId="629FA234" w14:textId="265C616E" w:rsidR="003030A5" w:rsidRDefault="007A3EC8" w:rsidP="007A3EC8">
      <w:r>
        <w:t xml:space="preserve">For NB-IoT, there is no support of connected mode mobility. As we know, mobility between cells relies on RLF and re-establishment to the new cell. In case of a </w:t>
      </w:r>
      <w:r w:rsidR="00C432F7">
        <w:t>UE unreachability period</w:t>
      </w:r>
      <w:r>
        <w:t xml:space="preserve">, the current procedure would cause the UE to start T310 upon detection of N310 out-of-sync indications from layer 1. Then, during T310 the UE would (unsuccessfully due to </w:t>
      </w:r>
      <w:r w:rsidR="00C432F7">
        <w:t>UE unreachability period</w:t>
      </w:r>
      <w:r>
        <w:t xml:space="preserve">) attempt to obtain in-sync with the current cell. Upon T310 expiry the UE would then attempt RRC re-establishment and (unsuccessfully due to </w:t>
      </w:r>
      <w:r w:rsidR="00C432F7">
        <w:t>UE unreachability period</w:t>
      </w:r>
      <w:r>
        <w:t xml:space="preserve">) attempt a cell selection. The UE would eventually declare RRC connection failure and enter idle mode, performing any cell selection until the </w:t>
      </w:r>
      <w:r w:rsidR="00C432F7">
        <w:t>UE unreachability period</w:t>
      </w:r>
      <w:r>
        <w:t xml:space="preserve"> ends. Performing this frequently would result in unnecessarily high power consumption. It would also mean the UE is never able to re-establish on the new cell in the case that the </w:t>
      </w:r>
      <w:r w:rsidR="00C432F7">
        <w:t>UE unreachability period</w:t>
      </w:r>
      <w:r>
        <w:t xml:space="preserve"> is longer than the maximum T310+T311 values because timers T310 and T311 would always expire. To avoid this, it should be allowed to suspend RLF and re-establishment for the duration of a </w:t>
      </w:r>
      <w:r w:rsidR="00C432F7">
        <w:t>UE unreachability period</w:t>
      </w:r>
      <w:r>
        <w:t xml:space="preserve">. </w:t>
      </w:r>
    </w:p>
    <w:p w14:paraId="2C35437C" w14:textId="77777777" w:rsidR="003030A5" w:rsidRDefault="003030A5" w:rsidP="007A3EC8"/>
    <w:p w14:paraId="019C8FDA" w14:textId="47877136" w:rsidR="007A3EC8" w:rsidRDefault="00C172F3" w:rsidP="007A3EC8">
      <w:r>
        <w:t xml:space="preserve">Currently in 36.304 </w:t>
      </w:r>
      <w:r w:rsidR="003030A5">
        <w:t>it is stated “</w:t>
      </w:r>
      <w:r w:rsidR="003030A5" w:rsidRPr="003030A5">
        <w:t>It is up to UE implementation to handle running timers.</w:t>
      </w:r>
      <w:r w:rsidR="003030A5">
        <w:t>” but it is not clear whether this refers to RRC_CONNECTED (RRC spec) timers. In order to improve RRC_CONNECTED mode, we should specify how to handle RLF that would normally be declared when out of sync is detected due to out of coverage, to ensure the UE can recover more quickly when back in coverage.</w:t>
      </w:r>
    </w:p>
    <w:p w14:paraId="6E475005" w14:textId="77777777" w:rsidR="007A3EC8" w:rsidRDefault="007A3EC8" w:rsidP="007A3EC8"/>
    <w:p w14:paraId="12687979" w14:textId="4031BE90" w:rsidR="00AC4D67" w:rsidRDefault="007A3EC8" w:rsidP="00E229AC">
      <w:pPr>
        <w:rPr>
          <w:b/>
          <w:bCs/>
        </w:rPr>
      </w:pPr>
      <w:r w:rsidRPr="00DE4862">
        <w:rPr>
          <w:b/>
          <w:bCs/>
        </w:rPr>
        <w:t xml:space="preserve">Proposal </w:t>
      </w:r>
      <w:r w:rsidR="00E31CE6">
        <w:rPr>
          <w:b/>
          <w:bCs/>
        </w:rPr>
        <w:t>4</w:t>
      </w:r>
      <w:r w:rsidRPr="00DE4862">
        <w:rPr>
          <w:b/>
          <w:bCs/>
        </w:rPr>
        <w:t xml:space="preserve">: </w:t>
      </w:r>
      <w:r w:rsidR="00AC4D67">
        <w:rPr>
          <w:b/>
          <w:bCs/>
        </w:rPr>
        <w:t xml:space="preserve">For eMTC and NB-IoT: </w:t>
      </w:r>
      <w:r w:rsidRPr="00DE4862">
        <w:rPr>
          <w:b/>
          <w:bCs/>
        </w:rPr>
        <w:t xml:space="preserve">RLM, RLF detection, and RRC re-establishment are suspended during a </w:t>
      </w:r>
      <w:r w:rsidR="00DC6669">
        <w:rPr>
          <w:b/>
          <w:bCs/>
        </w:rPr>
        <w:t>UE unreachability period</w:t>
      </w:r>
      <w:r w:rsidR="00C172F3">
        <w:rPr>
          <w:b/>
          <w:bCs/>
        </w:rPr>
        <w:t>.</w:t>
      </w:r>
    </w:p>
    <w:p w14:paraId="648FFE66" w14:textId="77777777" w:rsidR="00AC4D67" w:rsidRDefault="00AC4D67" w:rsidP="00E229AC">
      <w:pPr>
        <w:rPr>
          <w:b/>
          <w:bCs/>
        </w:rPr>
      </w:pPr>
    </w:p>
    <w:p w14:paraId="2DFF7E61" w14:textId="66001DEA" w:rsidR="00E91B54" w:rsidRDefault="00E91B54" w:rsidP="00E91B54">
      <w:pPr>
        <w:pStyle w:val="Heading2"/>
      </w:pPr>
      <w:r>
        <w:t>3.3</w:t>
      </w:r>
      <w:r>
        <w:tab/>
        <w:t>RRC Reconfiguration</w:t>
      </w:r>
    </w:p>
    <w:p w14:paraId="37C1E7D7" w14:textId="7A0E6FD4" w:rsidR="00A61393" w:rsidRDefault="00AC4D67" w:rsidP="00AC4D67">
      <w:r w:rsidRPr="00B556ED">
        <w:t xml:space="preserve">For RRC_CONNECTED, </w:t>
      </w:r>
      <w:r>
        <w:t>a gap in coverage would obviously impact mobility. For eMTC, the network may prefer to perform a handover from one cell to the new cell</w:t>
      </w:r>
      <w:r w:rsidR="00A61393">
        <w:t xml:space="preserve"> while keeping the UE in RRC_CONNECTED rather than having to release to IDLE to connect again later, particularly if the </w:t>
      </w:r>
      <w:r w:rsidR="00C432F7">
        <w:t>UE unreachability period</w:t>
      </w:r>
      <w:r w:rsidR="00A61393">
        <w:t xml:space="preserve"> is relatively short</w:t>
      </w:r>
      <w:r>
        <w:t xml:space="preserve">. </w:t>
      </w:r>
    </w:p>
    <w:p w14:paraId="64C1B56A" w14:textId="77777777" w:rsidR="00A61393" w:rsidRDefault="00A61393" w:rsidP="00AC4D67"/>
    <w:p w14:paraId="679E8F80" w14:textId="77777777" w:rsidR="00A61393" w:rsidRDefault="00AC4D67" w:rsidP="00AC4D67">
      <w:r>
        <w:t xml:space="preserve">However, assuming that the handover command could be provided before the current cell coverage ends, a gap in coverage would result in RLF on the target cell as the UE would not be able to synchronise. </w:t>
      </w:r>
    </w:p>
    <w:p w14:paraId="11025623" w14:textId="77777777" w:rsidR="00A61393" w:rsidRDefault="00A61393" w:rsidP="00AC4D67"/>
    <w:p w14:paraId="031F8E23" w14:textId="7AB28669" w:rsidR="00AC4D67" w:rsidRDefault="00AC4D67" w:rsidP="00AC4D67">
      <w:r>
        <w:t xml:space="preserve">To support this we would suggest that for NTN the RRC Reconfiguration message could be enhanced to include an “activation time” to accommodate the </w:t>
      </w:r>
      <w:r w:rsidR="00C432F7">
        <w:t>UE unreachability period</w:t>
      </w:r>
      <w:r>
        <w:t xml:space="preserve">. If the UE receives an RRC Reconfiguration providing reconfiguration to a new cell and including an activation time, the UE should be allowed to not detect/declare RLF on the source cell, and delay the reconfiguration procedure until the activation time (i.e. </w:t>
      </w:r>
      <w:r w:rsidR="00C432F7">
        <w:t>UE unreachability period</w:t>
      </w:r>
      <w:r>
        <w:t xml:space="preserve"> end time).</w:t>
      </w:r>
    </w:p>
    <w:p w14:paraId="6C9C8A96" w14:textId="77777777" w:rsidR="00AC4D67" w:rsidRDefault="00AC4D67" w:rsidP="00AC4D67"/>
    <w:p w14:paraId="4C7D8D56" w14:textId="4F687A12" w:rsidR="00AC4D67" w:rsidRPr="00D72A34" w:rsidRDefault="00AC4D67" w:rsidP="00AC4D67">
      <w:pPr>
        <w:rPr>
          <w:b/>
          <w:bCs/>
        </w:rPr>
      </w:pPr>
      <w:r w:rsidRPr="00D72A34">
        <w:rPr>
          <w:b/>
          <w:bCs/>
        </w:rPr>
        <w:t xml:space="preserve">Proposal </w:t>
      </w:r>
      <w:r w:rsidR="00E31CE6">
        <w:rPr>
          <w:b/>
          <w:bCs/>
        </w:rPr>
        <w:t>5</w:t>
      </w:r>
      <w:r w:rsidRPr="00D72A34">
        <w:rPr>
          <w:b/>
          <w:bCs/>
        </w:rPr>
        <w:t xml:space="preserve">: </w:t>
      </w:r>
      <w:r>
        <w:rPr>
          <w:b/>
          <w:bCs/>
        </w:rPr>
        <w:t xml:space="preserve">For eMTC: </w:t>
      </w:r>
      <w:r w:rsidR="00A42990">
        <w:rPr>
          <w:b/>
          <w:bCs/>
        </w:rPr>
        <w:t xml:space="preserve">To avoid always sending the UE to RRC_IDLE/RRC_INACTIVE during a </w:t>
      </w:r>
      <w:r w:rsidR="00C432F7">
        <w:rPr>
          <w:b/>
          <w:bCs/>
        </w:rPr>
        <w:t>UE unreachability period</w:t>
      </w:r>
      <w:r w:rsidR="00A42990">
        <w:rPr>
          <w:b/>
          <w:bCs/>
        </w:rPr>
        <w:t xml:space="preserve">, </w:t>
      </w:r>
      <w:r w:rsidR="007F54C8">
        <w:rPr>
          <w:b/>
          <w:bCs/>
        </w:rPr>
        <w:t>i</w:t>
      </w:r>
      <w:r w:rsidRPr="00D72A34">
        <w:rPr>
          <w:b/>
          <w:bCs/>
        </w:rPr>
        <w:t xml:space="preserve">ntroduce an activation time in RRC Reconfiguration to allow handover between cells occurring before and after a </w:t>
      </w:r>
      <w:r w:rsidR="00C432F7">
        <w:rPr>
          <w:b/>
          <w:bCs/>
        </w:rPr>
        <w:t>UE unreachability period</w:t>
      </w:r>
      <w:r w:rsidRPr="00D72A34">
        <w:rPr>
          <w:b/>
          <w:bCs/>
        </w:rPr>
        <w:t>.</w:t>
      </w:r>
    </w:p>
    <w:p w14:paraId="671DB2EF" w14:textId="5F4C561B" w:rsidR="00937DBB" w:rsidRDefault="00937DBB" w:rsidP="00E229AC">
      <w:pPr>
        <w:rPr>
          <w:b/>
          <w:bCs/>
        </w:rPr>
      </w:pPr>
    </w:p>
    <w:p w14:paraId="207A40E7" w14:textId="20E90B0A" w:rsidR="00E91B54" w:rsidRDefault="00E91B54" w:rsidP="00E91B54">
      <w:pPr>
        <w:rPr>
          <w:b/>
          <w:bCs/>
        </w:rPr>
      </w:pPr>
      <w:r w:rsidRPr="000E3593">
        <w:t xml:space="preserve">In addition, time-based and location-based triggers for CHO </w:t>
      </w:r>
      <w:r>
        <w:t>have been agreed to be</w:t>
      </w:r>
      <w:r w:rsidRPr="000E3593">
        <w:t xml:space="preserve"> introduced</w:t>
      </w:r>
      <w:r>
        <w:t xml:space="preserve"> for IoT-NTN</w:t>
      </w:r>
      <w:r w:rsidRPr="000E3593">
        <w:t xml:space="preserve"> in R18. If a CHO is provided with a target cell that will come into coverage after a gap, then CHO should take this into account, for example delay attempting to complete the CHO until after the </w:t>
      </w:r>
      <w:r w:rsidR="00C432F7">
        <w:t>UE unreachability period</w:t>
      </w:r>
      <w:r w:rsidRPr="000E3593">
        <w:t xml:space="preserve">. This would be similar to providing an activation time </w:t>
      </w:r>
      <w:r>
        <w:t>i</w:t>
      </w:r>
      <w:r w:rsidRPr="000E3593">
        <w:t>n the RRC Reconfiguration.</w:t>
      </w:r>
    </w:p>
    <w:p w14:paraId="0D189FDC" w14:textId="77777777" w:rsidR="00E91B54" w:rsidRDefault="00E91B54" w:rsidP="00E91B54">
      <w:pPr>
        <w:rPr>
          <w:b/>
          <w:bCs/>
        </w:rPr>
      </w:pPr>
    </w:p>
    <w:p w14:paraId="04B96868" w14:textId="761FE39F" w:rsidR="00E91B54" w:rsidRPr="000E3593" w:rsidRDefault="00E91B54" w:rsidP="00E91B54">
      <w:pPr>
        <w:rPr>
          <w:b/>
          <w:bCs/>
        </w:rPr>
      </w:pPr>
      <w:r>
        <w:rPr>
          <w:b/>
          <w:bCs/>
        </w:rPr>
        <w:t xml:space="preserve">Proposal </w:t>
      </w:r>
      <w:r w:rsidR="00E31CE6">
        <w:rPr>
          <w:b/>
          <w:bCs/>
        </w:rPr>
        <w:t>6</w:t>
      </w:r>
      <w:r>
        <w:rPr>
          <w:b/>
          <w:bCs/>
        </w:rPr>
        <w:t>: For eMTC: Consider how discontinuous coverage impacts CHO.</w:t>
      </w:r>
    </w:p>
    <w:p w14:paraId="2BF627E2" w14:textId="24CB54B2" w:rsidR="00834AA9" w:rsidRDefault="00834AA9" w:rsidP="00E229AC"/>
    <w:p w14:paraId="0BB59B1D" w14:textId="159C6A2B" w:rsidR="00E91B54" w:rsidRDefault="00E91B54" w:rsidP="00E91B54">
      <w:pPr>
        <w:pStyle w:val="Heading2"/>
      </w:pPr>
      <w:r>
        <w:t>3.4</w:t>
      </w:r>
      <w:r>
        <w:tab/>
        <w:t>Reporting of UE unreachability period</w:t>
      </w:r>
    </w:p>
    <w:p w14:paraId="3FF22AF7" w14:textId="77777777" w:rsidR="00B77592" w:rsidRPr="00B77592" w:rsidRDefault="00B77592" w:rsidP="00B77592">
      <w:r w:rsidRPr="00B77592">
        <w:t>According to the SA2 conclusions, “Both network centric and UE centric procedures are used to determine and coordinate the UE unreachability period. These two approaches are not mutually exclusive, they serve different use cases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w:t>
      </w:r>
    </w:p>
    <w:p w14:paraId="48672AE2" w14:textId="77777777" w:rsidR="00B77592" w:rsidRPr="00B77592" w:rsidRDefault="00B77592" w:rsidP="00B77592"/>
    <w:p w14:paraId="38E5022F" w14:textId="00EB16C4" w:rsidR="00B77592" w:rsidRPr="003C7D80" w:rsidRDefault="00B77592" w:rsidP="00B77592">
      <w:pPr>
        <w:rPr>
          <w:lang w:val="en-US"/>
        </w:rPr>
      </w:pPr>
      <w:r w:rsidRPr="00B77592">
        <w:t xml:space="preserve">According to SA2 </w:t>
      </w:r>
      <w:r w:rsidRPr="003C7D80">
        <w:rPr>
          <w:lang w:val="en-US"/>
        </w:rPr>
        <w:fldChar w:fldCharType="begin"/>
      </w:r>
      <w:r w:rsidRPr="003C7D80">
        <w:rPr>
          <w:lang w:val="en-US"/>
        </w:rPr>
        <w:instrText xml:space="preserve"> REF _Ref127365523 \r \h </w:instrText>
      </w:r>
      <w:r>
        <w:rPr>
          <w:lang w:val="en-US"/>
        </w:rPr>
        <w:instrText xml:space="preserve"> \* MERGEFORMAT </w:instrText>
      </w:r>
      <w:r w:rsidRPr="003C7D80">
        <w:rPr>
          <w:lang w:val="en-US"/>
        </w:rPr>
      </w:r>
      <w:r w:rsidRPr="003C7D80">
        <w:rPr>
          <w:lang w:val="en-US"/>
        </w:rPr>
        <w:fldChar w:fldCharType="separate"/>
      </w:r>
      <w:r w:rsidRPr="003C7D80">
        <w:rPr>
          <w:lang w:val="en-US"/>
        </w:rPr>
        <w:t>[2]</w:t>
      </w:r>
      <w:r w:rsidRPr="003C7D80">
        <w:rPr>
          <w:lang w:val="en-US"/>
        </w:rPr>
        <w:fldChar w:fldCharType="end"/>
      </w:r>
      <w:r w:rsidRPr="003C7D80">
        <w:rPr>
          <w:lang w:val="en-US"/>
        </w:rPr>
        <w:t xml:space="preserve"> the “UE includes Unreachability Period in its Registration Request. The Unreachability Period tells the AMF the foreseen unreachability period caused by discontinuous satellite coverage in the UE location.”</w:t>
      </w:r>
    </w:p>
    <w:p w14:paraId="352B378B" w14:textId="1EE2D23B" w:rsidR="00B77592" w:rsidRDefault="00B77592" w:rsidP="00E229AC">
      <w:pPr>
        <w:rPr>
          <w:lang w:val="en-US"/>
        </w:rPr>
      </w:pPr>
    </w:p>
    <w:p w14:paraId="7EA7ED68" w14:textId="0779CF94" w:rsidR="00B77592" w:rsidRDefault="00B77592" w:rsidP="00E229AC">
      <w:pPr>
        <w:rPr>
          <w:lang w:val="en-US"/>
        </w:rPr>
      </w:pPr>
      <w:r>
        <w:rPr>
          <w:lang w:val="en-US"/>
        </w:rPr>
        <w:t xml:space="preserve">Based on the SA2 study, it seems that </w:t>
      </w:r>
      <w:r w:rsidR="00301D78">
        <w:rPr>
          <w:lang w:val="en-US"/>
        </w:rPr>
        <w:t xml:space="preserve">no RRC reporting of </w:t>
      </w:r>
      <w:r w:rsidR="00C432F7">
        <w:rPr>
          <w:lang w:val="en-US"/>
        </w:rPr>
        <w:t>UE unreachability period</w:t>
      </w:r>
      <w:r w:rsidR="00301D78">
        <w:rPr>
          <w:lang w:val="en-US"/>
        </w:rPr>
        <w:t xml:space="preserve"> information is necessary. </w:t>
      </w:r>
      <w:r w:rsidR="00C432F7">
        <w:rPr>
          <w:lang w:val="en-US"/>
        </w:rPr>
        <w:t>However, this assumes that the reporting in Registration request can be kept sufficiently up to date – a registration request is not usually sent very frequently, and depending on how often a registration request is triggered, the accuracy of UE location and hence UE unreachability period estimation may be impacted. If the UE unreachability estimation can be kept up to date and accurate then no RRC procedures would be needed to perform an update. However, it is not clear that this is the case.</w:t>
      </w:r>
    </w:p>
    <w:p w14:paraId="0D0FF08D" w14:textId="77777777" w:rsidR="004C3FEF" w:rsidRPr="003C7D80" w:rsidRDefault="004C3FEF" w:rsidP="00E229AC">
      <w:pPr>
        <w:rPr>
          <w:lang w:val="en-US"/>
        </w:rPr>
      </w:pPr>
    </w:p>
    <w:p w14:paraId="45C563F2" w14:textId="406C37DC" w:rsidR="000E3593" w:rsidRDefault="000E3593" w:rsidP="00E229AC">
      <w:pPr>
        <w:rPr>
          <w:b/>
          <w:bCs/>
        </w:rPr>
      </w:pPr>
      <w:r w:rsidRPr="000E3593">
        <w:rPr>
          <w:b/>
          <w:bCs/>
        </w:rPr>
        <w:t xml:space="preserve">Proposal </w:t>
      </w:r>
      <w:r w:rsidR="00E31CE6">
        <w:rPr>
          <w:b/>
          <w:bCs/>
        </w:rPr>
        <w:t>7</w:t>
      </w:r>
      <w:r w:rsidRPr="000E3593">
        <w:rPr>
          <w:b/>
          <w:bCs/>
        </w:rPr>
        <w:t xml:space="preserve">: </w:t>
      </w:r>
      <w:r w:rsidR="00301D78">
        <w:rPr>
          <w:b/>
          <w:bCs/>
        </w:rPr>
        <w:t xml:space="preserve"> RAN2 </w:t>
      </w:r>
      <w:r w:rsidR="00A61393">
        <w:rPr>
          <w:b/>
          <w:bCs/>
        </w:rPr>
        <w:t xml:space="preserve">to discuss whether it can be </w:t>
      </w:r>
      <w:r w:rsidR="00301D78">
        <w:rPr>
          <w:b/>
          <w:bCs/>
        </w:rPr>
        <w:t>assume</w:t>
      </w:r>
      <w:r w:rsidR="00A61393">
        <w:rPr>
          <w:b/>
          <w:bCs/>
        </w:rPr>
        <w:t>d</w:t>
      </w:r>
      <w:r w:rsidR="00301D78">
        <w:rPr>
          <w:b/>
          <w:bCs/>
        </w:rPr>
        <w:t xml:space="preserve"> that reporting </w:t>
      </w:r>
      <w:r w:rsidR="00C432F7">
        <w:rPr>
          <w:b/>
          <w:bCs/>
        </w:rPr>
        <w:t xml:space="preserve">of UE unreachability period in Registration Request </w:t>
      </w:r>
      <w:r w:rsidR="00301D78">
        <w:rPr>
          <w:b/>
          <w:bCs/>
        </w:rPr>
        <w:t xml:space="preserve">can be </w:t>
      </w:r>
      <w:r w:rsidR="004C3FEF">
        <w:rPr>
          <w:b/>
          <w:bCs/>
        </w:rPr>
        <w:t xml:space="preserve">kept sufficiently </w:t>
      </w:r>
      <w:r w:rsidR="00C432F7">
        <w:rPr>
          <w:b/>
          <w:bCs/>
        </w:rPr>
        <w:t xml:space="preserve">(i.e. to support AS based solutions) </w:t>
      </w:r>
      <w:r w:rsidR="004C3FEF">
        <w:rPr>
          <w:b/>
          <w:bCs/>
        </w:rPr>
        <w:t>up to date and takes into consideration UE mobility</w:t>
      </w:r>
      <w:r w:rsidR="00A61393">
        <w:rPr>
          <w:b/>
          <w:bCs/>
        </w:rPr>
        <w:t>, or whether this needs to be confirmed with SA2</w:t>
      </w:r>
      <w:r w:rsidR="004C3FEF">
        <w:rPr>
          <w:b/>
          <w:bCs/>
        </w:rPr>
        <w:t>.</w:t>
      </w:r>
    </w:p>
    <w:p w14:paraId="39885626" w14:textId="0FCE3440" w:rsidR="000E3593" w:rsidRDefault="000E3593" w:rsidP="00E229AC">
      <w:pPr>
        <w:rPr>
          <w:b/>
          <w:bCs/>
        </w:rPr>
      </w:pPr>
    </w:p>
    <w:bookmarkEnd w:id="1"/>
    <w:p w14:paraId="0EC22F6F" w14:textId="18D08413" w:rsidR="008F4846" w:rsidRPr="00AC3CD2"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rPr>
          <w:rFonts w:ascii="Arial" w:hAnsi="Arial" w:cs="Arial"/>
        </w:rPr>
      </w:pPr>
      <w:r w:rsidRPr="00AC3CD2">
        <w:rPr>
          <w:rFonts w:ascii="Arial" w:hAnsi="Arial" w:cs="Arial"/>
        </w:rPr>
        <w:t>Conclusion</w:t>
      </w:r>
    </w:p>
    <w:p w14:paraId="367E2C4B" w14:textId="0E34B669" w:rsidR="00551638" w:rsidRDefault="00551638" w:rsidP="00551638">
      <w:pPr>
        <w:jc w:val="both"/>
        <w:rPr>
          <w:rFonts w:ascii="Arial" w:hAnsi="Arial" w:cs="Arial"/>
          <w:lang w:val="en-US"/>
        </w:rPr>
      </w:pPr>
      <w:r w:rsidRPr="00AC3CD2">
        <w:rPr>
          <w:rFonts w:ascii="Arial" w:hAnsi="Arial" w:cs="Arial"/>
          <w:lang w:val="en-US"/>
        </w:rPr>
        <w:t xml:space="preserve">In this contribution we discuss the potential </w:t>
      </w:r>
      <w:r w:rsidR="00775EE0">
        <w:rPr>
          <w:rFonts w:ascii="Arial" w:hAnsi="Arial" w:cs="Arial"/>
          <w:lang w:val="en-US"/>
        </w:rPr>
        <w:t>discontinuous coverage</w:t>
      </w:r>
      <w:r w:rsidR="007B7AD2">
        <w:rPr>
          <w:rFonts w:ascii="Arial" w:hAnsi="Arial" w:cs="Arial"/>
          <w:lang w:val="en-US"/>
        </w:rPr>
        <w:t xml:space="preserve"> enhancements</w:t>
      </w:r>
      <w:r w:rsidR="00775EE0">
        <w:rPr>
          <w:rFonts w:ascii="Arial" w:hAnsi="Arial" w:cs="Arial"/>
          <w:lang w:val="en-US"/>
        </w:rPr>
        <w:t xml:space="preserve"> for R18 IoT-NTN and have the following proposals</w:t>
      </w:r>
      <w:r w:rsidRPr="00AC3CD2">
        <w:rPr>
          <w:rFonts w:ascii="Arial" w:hAnsi="Arial" w:cs="Arial"/>
          <w:lang w:val="en-US"/>
        </w:rPr>
        <w:t>:</w:t>
      </w:r>
    </w:p>
    <w:p w14:paraId="4BB46DF6" w14:textId="77777777" w:rsidR="003C7D80" w:rsidRDefault="003C7D80" w:rsidP="003C7D80">
      <w:pPr>
        <w:rPr>
          <w:b/>
          <w:bCs/>
        </w:rPr>
      </w:pPr>
    </w:p>
    <w:p w14:paraId="4BD286B9" w14:textId="7B8F837E" w:rsidR="003C7D80" w:rsidRDefault="003C7D80" w:rsidP="003C7D80">
      <w:pPr>
        <w:rPr>
          <w:b/>
          <w:bCs/>
        </w:rPr>
      </w:pPr>
      <w:r w:rsidRPr="00780D2A">
        <w:rPr>
          <w:b/>
          <w:bCs/>
        </w:rPr>
        <w:t xml:space="preserve">Proposal </w:t>
      </w:r>
      <w:r>
        <w:rPr>
          <w:b/>
          <w:bCs/>
        </w:rPr>
        <w:t>1</w:t>
      </w:r>
      <w:r w:rsidRPr="00780D2A">
        <w:rPr>
          <w:b/>
          <w:bCs/>
        </w:rPr>
        <w:t xml:space="preserve">: </w:t>
      </w:r>
      <w:r>
        <w:rPr>
          <w:b/>
          <w:bCs/>
        </w:rPr>
        <w:t>For eMTC and NB-IoT: A UE in R17 is allowed not to perform RRC_IDLE mode tasks during a UE unreachability period. Consider whether to explicitly clarify that this means that i</w:t>
      </w:r>
      <w:r w:rsidRPr="00780D2A">
        <w:rPr>
          <w:b/>
          <w:bCs/>
        </w:rPr>
        <w:t xml:space="preserve">f a UE </w:t>
      </w:r>
      <w:r>
        <w:rPr>
          <w:b/>
          <w:bCs/>
        </w:rPr>
        <w:t xml:space="preserve">in RRC_IDLE or RRC_INACTIVE </w:t>
      </w:r>
      <w:r w:rsidRPr="00780D2A">
        <w:rPr>
          <w:b/>
          <w:bCs/>
        </w:rPr>
        <w:t xml:space="preserve">determines it is in a </w:t>
      </w:r>
      <w:r>
        <w:rPr>
          <w:b/>
          <w:bCs/>
        </w:rPr>
        <w:t>UE unreachability period</w:t>
      </w:r>
      <w:r w:rsidRPr="00780D2A">
        <w:rPr>
          <w:b/>
          <w:bCs/>
        </w:rPr>
        <w:t>, the UE may choose not to perform measurements of the serving cell or neighbour cells, and may postpone moving to “any cell selection” state</w:t>
      </w:r>
      <w:r>
        <w:rPr>
          <w:b/>
          <w:bCs/>
        </w:rPr>
        <w:t>, and is</w:t>
      </w:r>
      <w:r w:rsidRPr="00036777">
        <w:rPr>
          <w:b/>
          <w:bCs/>
        </w:rPr>
        <w:t xml:space="preserve"> allowed not to </w:t>
      </w:r>
      <w:r>
        <w:rPr>
          <w:b/>
          <w:bCs/>
        </w:rPr>
        <w:t xml:space="preserve">attempt to </w:t>
      </w:r>
      <w:r w:rsidRPr="00036777">
        <w:rPr>
          <w:b/>
          <w:bCs/>
        </w:rPr>
        <w:t xml:space="preserve">monitor paging occasions </w:t>
      </w:r>
      <w:r>
        <w:rPr>
          <w:b/>
          <w:bCs/>
        </w:rPr>
        <w:t>which</w:t>
      </w:r>
      <w:r w:rsidRPr="00036777">
        <w:rPr>
          <w:b/>
          <w:bCs/>
        </w:rPr>
        <w:t xml:space="preserve"> occur during a </w:t>
      </w:r>
      <w:r>
        <w:rPr>
          <w:b/>
          <w:bCs/>
        </w:rPr>
        <w:t>UE unreachability period</w:t>
      </w:r>
      <w:r w:rsidRPr="00036777">
        <w:rPr>
          <w:b/>
          <w:bCs/>
        </w:rPr>
        <w:t>.</w:t>
      </w:r>
    </w:p>
    <w:p w14:paraId="66873DD2" w14:textId="77777777" w:rsidR="003C7D80" w:rsidRDefault="003C7D80" w:rsidP="003C7D80">
      <w:pPr>
        <w:rPr>
          <w:b/>
          <w:bCs/>
        </w:rPr>
      </w:pPr>
    </w:p>
    <w:p w14:paraId="74447C57" w14:textId="77777777" w:rsidR="00E31CE6" w:rsidRPr="001F2E10" w:rsidRDefault="00E31CE6" w:rsidP="00E31CE6">
      <w:pPr>
        <w:rPr>
          <w:b/>
          <w:bCs/>
        </w:rPr>
      </w:pPr>
      <w:r w:rsidRPr="001F2E10">
        <w:rPr>
          <w:b/>
          <w:bCs/>
        </w:rPr>
        <w:t>Proposal 2: PTW can be adjusted with co-ordination between UE and NW to account for UE unreachability periods.</w:t>
      </w:r>
    </w:p>
    <w:p w14:paraId="54608BDE" w14:textId="77777777" w:rsidR="00775EE0" w:rsidRPr="003C7D80" w:rsidRDefault="00775EE0" w:rsidP="00551638">
      <w:pPr>
        <w:jc w:val="both"/>
        <w:rPr>
          <w:rFonts w:ascii="Arial" w:hAnsi="Arial" w:cs="Arial"/>
        </w:rPr>
      </w:pPr>
    </w:p>
    <w:p w14:paraId="32C15BEB" w14:textId="77777777" w:rsidR="00E31CE6" w:rsidRDefault="00E31CE6" w:rsidP="00E31CE6">
      <w:pPr>
        <w:rPr>
          <w:b/>
          <w:bCs/>
        </w:rPr>
      </w:pPr>
      <w:r w:rsidRPr="00B556ED">
        <w:rPr>
          <w:b/>
          <w:bCs/>
        </w:rPr>
        <w:t xml:space="preserve">Proposal </w:t>
      </w:r>
      <w:r>
        <w:rPr>
          <w:b/>
          <w:bCs/>
        </w:rPr>
        <w:t>3</w:t>
      </w:r>
      <w:r w:rsidRPr="00B556ED">
        <w:rPr>
          <w:b/>
          <w:bCs/>
        </w:rPr>
        <w:t xml:space="preserve">: </w:t>
      </w:r>
      <w:r>
        <w:rPr>
          <w:b/>
          <w:bCs/>
        </w:rPr>
        <w:t>RAN2 to down select between the following options for PTW adjustment:</w:t>
      </w:r>
    </w:p>
    <w:p w14:paraId="3EF0126C" w14:textId="77777777" w:rsidR="00E31CE6" w:rsidRPr="00920D96" w:rsidRDefault="00E31CE6" w:rsidP="00E31CE6">
      <w:pPr>
        <w:pStyle w:val="ListParagraph"/>
        <w:numPr>
          <w:ilvl w:val="0"/>
          <w:numId w:val="29"/>
        </w:numPr>
        <w:rPr>
          <w:rFonts w:ascii="Times New Roman" w:hAnsi="Times New Roman"/>
          <w:b/>
          <w:bCs/>
          <w:sz w:val="20"/>
          <w:szCs w:val="20"/>
        </w:rPr>
      </w:pPr>
      <w:r w:rsidRPr="00920D96">
        <w:rPr>
          <w:rFonts w:ascii="Times New Roman" w:hAnsi="Times New Roman"/>
          <w:b/>
          <w:bCs/>
          <w:sz w:val="20"/>
          <w:szCs w:val="20"/>
        </w:rPr>
        <w:t>Option 1 (configurable offset)</w:t>
      </w:r>
    </w:p>
    <w:p w14:paraId="1AFFA116" w14:textId="77777777" w:rsidR="00E31CE6" w:rsidRPr="00920D96" w:rsidRDefault="00E31CE6" w:rsidP="00E31CE6">
      <w:pPr>
        <w:pStyle w:val="ListParagraph"/>
        <w:numPr>
          <w:ilvl w:val="0"/>
          <w:numId w:val="29"/>
        </w:numPr>
        <w:rPr>
          <w:rFonts w:ascii="Times New Roman" w:hAnsi="Times New Roman"/>
          <w:b/>
          <w:bCs/>
          <w:sz w:val="20"/>
          <w:szCs w:val="20"/>
        </w:rPr>
      </w:pPr>
      <w:r w:rsidRPr="00920D96">
        <w:rPr>
          <w:rFonts w:ascii="Times New Roman" w:hAnsi="Times New Roman"/>
          <w:b/>
          <w:bCs/>
          <w:sz w:val="20"/>
          <w:szCs w:val="20"/>
        </w:rPr>
        <w:t xml:space="preserve">Option 2 (updated PTW calculation) </w:t>
      </w:r>
    </w:p>
    <w:p w14:paraId="5BD39964" w14:textId="77777777" w:rsidR="00E31CE6" w:rsidRPr="00920D96" w:rsidRDefault="00E31CE6" w:rsidP="00E31CE6">
      <w:pPr>
        <w:pStyle w:val="ListParagraph"/>
        <w:numPr>
          <w:ilvl w:val="0"/>
          <w:numId w:val="29"/>
        </w:numPr>
        <w:rPr>
          <w:rFonts w:ascii="Times New Roman" w:hAnsi="Times New Roman"/>
          <w:b/>
          <w:bCs/>
          <w:sz w:val="20"/>
          <w:szCs w:val="20"/>
        </w:rPr>
      </w:pPr>
      <w:r w:rsidRPr="00920D96">
        <w:rPr>
          <w:rFonts w:ascii="Times New Roman" w:hAnsi="Times New Roman"/>
          <w:b/>
          <w:bCs/>
          <w:sz w:val="20"/>
          <w:szCs w:val="20"/>
        </w:rPr>
        <w:t>Option 3 (UE/NW autonomous adjustment)</w:t>
      </w:r>
    </w:p>
    <w:p w14:paraId="5FB06758" w14:textId="77777777" w:rsidR="00E31CE6" w:rsidRPr="00920D96" w:rsidRDefault="00E31CE6" w:rsidP="00E31CE6">
      <w:pPr>
        <w:pStyle w:val="ListParagraph"/>
        <w:numPr>
          <w:ilvl w:val="0"/>
          <w:numId w:val="29"/>
        </w:numPr>
        <w:rPr>
          <w:rFonts w:ascii="Times New Roman" w:hAnsi="Times New Roman"/>
          <w:b/>
          <w:bCs/>
          <w:sz w:val="20"/>
          <w:szCs w:val="20"/>
        </w:rPr>
      </w:pPr>
      <w:r w:rsidRPr="00920D96">
        <w:rPr>
          <w:rFonts w:ascii="Times New Roman" w:hAnsi="Times New Roman"/>
          <w:b/>
          <w:bCs/>
          <w:sz w:val="20"/>
          <w:szCs w:val="20"/>
        </w:rPr>
        <w:t>Option 4 (other?)</w:t>
      </w:r>
    </w:p>
    <w:p w14:paraId="31DEEB73" w14:textId="77777777" w:rsidR="00E31CE6" w:rsidRDefault="00E31CE6" w:rsidP="003C7D80">
      <w:pPr>
        <w:rPr>
          <w:b/>
          <w:bCs/>
        </w:rPr>
      </w:pPr>
    </w:p>
    <w:p w14:paraId="55EF4D3C" w14:textId="23BF4A1C" w:rsidR="003C7D80" w:rsidRDefault="003C7D80" w:rsidP="003C7D80">
      <w:pPr>
        <w:rPr>
          <w:b/>
          <w:bCs/>
        </w:rPr>
      </w:pPr>
      <w:r w:rsidRPr="00DE4862">
        <w:rPr>
          <w:b/>
          <w:bCs/>
        </w:rPr>
        <w:t xml:space="preserve">Proposal </w:t>
      </w:r>
      <w:r w:rsidR="00E31CE6">
        <w:rPr>
          <w:b/>
          <w:bCs/>
        </w:rPr>
        <w:t>4</w:t>
      </w:r>
      <w:r w:rsidRPr="00DE4862">
        <w:rPr>
          <w:b/>
          <w:bCs/>
        </w:rPr>
        <w:t xml:space="preserve">: </w:t>
      </w:r>
      <w:r>
        <w:rPr>
          <w:b/>
          <w:bCs/>
        </w:rPr>
        <w:t xml:space="preserve">For eMTC and NB-IoT: </w:t>
      </w:r>
      <w:r w:rsidRPr="00DE4862">
        <w:rPr>
          <w:b/>
          <w:bCs/>
        </w:rPr>
        <w:t xml:space="preserve">RLM, RLF detection, and RRC re-establishment are suspended during a </w:t>
      </w:r>
      <w:r>
        <w:rPr>
          <w:b/>
          <w:bCs/>
        </w:rPr>
        <w:t>UE unreachability period.</w:t>
      </w:r>
    </w:p>
    <w:p w14:paraId="2378AA63" w14:textId="77777777" w:rsidR="00920D96" w:rsidRDefault="00920D96" w:rsidP="003C7D80">
      <w:pPr>
        <w:rPr>
          <w:b/>
          <w:bCs/>
        </w:rPr>
      </w:pPr>
    </w:p>
    <w:p w14:paraId="40721B79" w14:textId="19671AB7" w:rsidR="003C7D80" w:rsidRPr="00D72A34" w:rsidRDefault="003C7D80" w:rsidP="003C7D80">
      <w:pPr>
        <w:rPr>
          <w:b/>
          <w:bCs/>
        </w:rPr>
      </w:pPr>
      <w:r w:rsidRPr="00D72A34">
        <w:rPr>
          <w:b/>
          <w:bCs/>
        </w:rPr>
        <w:t xml:space="preserve">Proposal </w:t>
      </w:r>
      <w:r w:rsidR="00E31CE6">
        <w:rPr>
          <w:b/>
          <w:bCs/>
        </w:rPr>
        <w:t>5</w:t>
      </w:r>
      <w:r w:rsidRPr="00D72A34">
        <w:rPr>
          <w:b/>
          <w:bCs/>
        </w:rPr>
        <w:t xml:space="preserve">: </w:t>
      </w:r>
      <w:r>
        <w:rPr>
          <w:b/>
          <w:bCs/>
        </w:rPr>
        <w:t>For eMTC: To avoid always sending the UE to RRC_IDLE/RRC_INACTIVE during a UE unreachability period, i</w:t>
      </w:r>
      <w:r w:rsidRPr="00D72A34">
        <w:rPr>
          <w:b/>
          <w:bCs/>
        </w:rPr>
        <w:t xml:space="preserve">ntroduce an activation time in RRC Reconfiguration to allow handover between cells occurring before and after a </w:t>
      </w:r>
      <w:r>
        <w:rPr>
          <w:b/>
          <w:bCs/>
        </w:rPr>
        <w:t>UE unreachability period</w:t>
      </w:r>
      <w:r w:rsidRPr="00D72A34">
        <w:rPr>
          <w:b/>
          <w:bCs/>
        </w:rPr>
        <w:t>.</w:t>
      </w:r>
    </w:p>
    <w:p w14:paraId="7494CBD8" w14:textId="77777777" w:rsidR="003C7D80" w:rsidRDefault="003C7D80" w:rsidP="003C7D80">
      <w:pPr>
        <w:rPr>
          <w:b/>
          <w:bCs/>
        </w:rPr>
      </w:pPr>
    </w:p>
    <w:p w14:paraId="3FD4F46C" w14:textId="77C2E74E" w:rsidR="003C7D80" w:rsidRPr="000E3593" w:rsidRDefault="003C7D80" w:rsidP="003C7D80">
      <w:pPr>
        <w:rPr>
          <w:b/>
          <w:bCs/>
        </w:rPr>
      </w:pPr>
      <w:r>
        <w:rPr>
          <w:b/>
          <w:bCs/>
        </w:rPr>
        <w:t xml:space="preserve">Proposal </w:t>
      </w:r>
      <w:r w:rsidR="00E31CE6">
        <w:rPr>
          <w:b/>
          <w:bCs/>
        </w:rPr>
        <w:t>6</w:t>
      </w:r>
      <w:r>
        <w:rPr>
          <w:b/>
          <w:bCs/>
        </w:rPr>
        <w:t>: For eMTC: Consider how discontinuous coverage impacts CHO.</w:t>
      </w:r>
    </w:p>
    <w:p w14:paraId="67A3FE7E" w14:textId="77777777" w:rsidR="00920D96" w:rsidRDefault="00920D96" w:rsidP="003C7D80">
      <w:pPr>
        <w:rPr>
          <w:b/>
          <w:bCs/>
        </w:rPr>
      </w:pPr>
    </w:p>
    <w:p w14:paraId="01953911" w14:textId="1FCF1D4E" w:rsidR="003C7D80" w:rsidRDefault="003C7D80" w:rsidP="003C7D80">
      <w:pPr>
        <w:rPr>
          <w:b/>
          <w:bCs/>
        </w:rPr>
      </w:pPr>
      <w:r w:rsidRPr="000E3593">
        <w:rPr>
          <w:b/>
          <w:bCs/>
        </w:rPr>
        <w:t xml:space="preserve">Proposal </w:t>
      </w:r>
      <w:r w:rsidR="00E31CE6">
        <w:rPr>
          <w:b/>
          <w:bCs/>
        </w:rPr>
        <w:t>7</w:t>
      </w:r>
      <w:r w:rsidRPr="000E3593">
        <w:rPr>
          <w:b/>
          <w:bCs/>
        </w:rPr>
        <w:t xml:space="preserve">: </w:t>
      </w:r>
      <w:r>
        <w:rPr>
          <w:b/>
          <w:bCs/>
        </w:rPr>
        <w:t xml:space="preserve"> RAN2 to discuss whether it can be assumed that reporting of UE unreachability period in Registration Request can be kept sufficiently (i.e. to support AS based solutions) up to date and takes into consideration UE mobility, or whether this needs to be confirmed with SA2.</w:t>
      </w:r>
    </w:p>
    <w:p w14:paraId="1A3F1855" w14:textId="77777777" w:rsidR="003C7D80" w:rsidRPr="00AC3CD2" w:rsidRDefault="003C7D80" w:rsidP="000F02CA">
      <w:pPr>
        <w:pStyle w:val="B4"/>
        <w:ind w:left="0" w:firstLine="0"/>
        <w:rPr>
          <w:rFonts w:ascii="Arial" w:hAnsi="Arial" w:cs="Arial"/>
        </w:rPr>
      </w:pPr>
    </w:p>
    <w:p w14:paraId="43E428F1" w14:textId="77777777" w:rsidR="00E06B61" w:rsidRPr="00AC3CD2"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ascii="Arial" w:hAnsi="Arial" w:cs="Arial"/>
        </w:rPr>
      </w:pPr>
      <w:r w:rsidRPr="00AC3CD2">
        <w:rPr>
          <w:rFonts w:ascii="Arial" w:hAnsi="Arial" w:cs="Arial"/>
        </w:rPr>
        <w:t>References</w:t>
      </w:r>
    </w:p>
    <w:bookmarkStart w:id="2" w:name="_Ref110867306"/>
    <w:p w14:paraId="3B018D6C" w14:textId="6052D4E2" w:rsidR="00D205BC" w:rsidRPr="007B1B5E" w:rsidRDefault="008956FD"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7B1B5E">
        <w:rPr>
          <w:rFonts w:ascii="Arial" w:hAnsi="Arial" w:cs="Arial"/>
        </w:rPr>
        <w:fldChar w:fldCharType="begin"/>
      </w:r>
      <w:r w:rsidRPr="007B1B5E">
        <w:rPr>
          <w:rFonts w:ascii="Arial" w:hAnsi="Arial" w:cs="Arial"/>
        </w:rPr>
        <w:instrText>HYPERLINK "https://www.3gpp.org/ftp/TSG_RAN/TSG_RAN/TSGR_98e/Docs/RP-223519.zip"</w:instrText>
      </w:r>
      <w:r w:rsidRPr="007B1B5E">
        <w:rPr>
          <w:rFonts w:ascii="Arial" w:hAnsi="Arial" w:cs="Arial"/>
        </w:rPr>
      </w:r>
      <w:r w:rsidRPr="007B1B5E">
        <w:rPr>
          <w:rFonts w:ascii="Arial" w:hAnsi="Arial" w:cs="Arial"/>
        </w:rPr>
        <w:fldChar w:fldCharType="separate"/>
      </w:r>
      <w:r w:rsidRPr="007B1B5E">
        <w:rPr>
          <w:rStyle w:val="Hyperlink"/>
          <w:rFonts w:ascii="Arial" w:hAnsi="Arial" w:cs="Arial"/>
        </w:rPr>
        <w:t>RP-223519</w:t>
      </w:r>
      <w:r w:rsidRPr="007B1B5E">
        <w:rPr>
          <w:rFonts w:ascii="Arial" w:hAnsi="Arial" w:cs="Arial"/>
        </w:rPr>
        <w:fldChar w:fldCharType="end"/>
      </w:r>
      <w:r w:rsidR="003F50DD" w:rsidRPr="007B1B5E">
        <w:rPr>
          <w:rFonts w:ascii="Arial" w:hAnsi="Arial" w:cs="Arial"/>
        </w:rPr>
        <w:t xml:space="preserve">,  </w:t>
      </w:r>
      <w:r w:rsidR="00A35B0F" w:rsidRPr="007B1B5E">
        <w:rPr>
          <w:rFonts w:ascii="Arial" w:hAnsi="Arial" w:cs="Arial"/>
        </w:rPr>
        <w:t>“</w:t>
      </w:r>
      <w:r w:rsidR="003D5E8E" w:rsidRPr="007B1B5E">
        <w:rPr>
          <w:rFonts w:ascii="Arial" w:hAnsi="Arial" w:cs="Arial"/>
        </w:rPr>
        <w:t>Revised WID on IoT NTN enhancements</w:t>
      </w:r>
      <w:r w:rsidR="00A35B0F" w:rsidRPr="007B1B5E">
        <w:rPr>
          <w:rFonts w:ascii="Arial" w:hAnsi="Arial" w:cs="Arial"/>
        </w:rPr>
        <w:t>”</w:t>
      </w:r>
      <w:bookmarkEnd w:id="2"/>
    </w:p>
    <w:bookmarkStart w:id="3" w:name="_Ref127365523"/>
    <w:p w14:paraId="1ABDC8E5" w14:textId="2A81B6C6" w:rsidR="008956FD" w:rsidRPr="007B1B5E" w:rsidRDefault="008956FD" w:rsidP="008956FD">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7B1B5E">
        <w:rPr>
          <w:rFonts w:ascii="Arial" w:eastAsia="Arial Unicode MS" w:hAnsi="Arial" w:cs="Arial"/>
        </w:rPr>
        <w:fldChar w:fldCharType="begin"/>
      </w:r>
      <w:r w:rsidRPr="007B1B5E">
        <w:rPr>
          <w:rFonts w:ascii="Arial" w:eastAsia="Arial Unicode MS" w:hAnsi="Arial" w:cs="Arial"/>
        </w:rPr>
        <w:instrText>HYPERLINK "https://www.3gpp.org/ftp/specs/archive/23_series/23.700-28/23700-28-i00.zip"</w:instrText>
      </w:r>
      <w:r w:rsidRPr="007B1B5E">
        <w:rPr>
          <w:rFonts w:ascii="Arial" w:eastAsia="Arial Unicode MS" w:hAnsi="Arial" w:cs="Arial"/>
        </w:rPr>
      </w:r>
      <w:r w:rsidRPr="007B1B5E">
        <w:rPr>
          <w:rFonts w:ascii="Arial" w:eastAsia="Arial Unicode MS" w:hAnsi="Arial" w:cs="Arial"/>
        </w:rPr>
        <w:fldChar w:fldCharType="separate"/>
      </w:r>
      <w:r w:rsidRPr="007B1B5E">
        <w:rPr>
          <w:rStyle w:val="Hyperlink"/>
          <w:rFonts w:ascii="Arial" w:eastAsia="Arial Unicode MS" w:hAnsi="Arial" w:cs="Arial"/>
        </w:rPr>
        <w:t>23.700-28-i00</w:t>
      </w:r>
      <w:r w:rsidRPr="007B1B5E">
        <w:rPr>
          <w:rFonts w:ascii="Arial" w:eastAsia="Arial Unicode MS" w:hAnsi="Arial" w:cs="Arial"/>
        </w:rPr>
        <w:fldChar w:fldCharType="end"/>
      </w:r>
      <w:r w:rsidRPr="007B1B5E">
        <w:rPr>
          <w:rFonts w:ascii="Arial" w:eastAsia="Arial Unicode MS" w:hAnsi="Arial" w:cs="Arial"/>
        </w:rPr>
        <w:t>, “Study on Integration of satellite components in the 5G architecture; Phase 2”</w:t>
      </w:r>
      <w:bookmarkEnd w:id="3"/>
      <w:r w:rsidRPr="007B1B5E">
        <w:rPr>
          <w:rFonts w:ascii="Arial" w:eastAsia="Arial Unicode MS" w:hAnsi="Arial" w:cs="Arial"/>
        </w:rPr>
        <w:t xml:space="preserve"> </w:t>
      </w:r>
    </w:p>
    <w:bookmarkStart w:id="4" w:name="_Ref131666431"/>
    <w:p w14:paraId="4D4D807A" w14:textId="0251F08B" w:rsidR="00746995" w:rsidRPr="00920D96" w:rsidRDefault="00746995" w:rsidP="008956FD">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7B1B5E">
        <w:fldChar w:fldCharType="begin"/>
      </w:r>
      <w:r w:rsidRPr="007B1B5E">
        <w:instrText>HYPERLINK "https://www.3gpp.org/ftp/TSG_RAN/WG2_RL2/TSGR2_121/Docs/R2-2300654.zip"</w:instrText>
      </w:r>
      <w:r w:rsidRPr="007B1B5E">
        <w:fldChar w:fldCharType="separate"/>
      </w:r>
      <w:r w:rsidRPr="00920D96">
        <w:rPr>
          <w:rFonts w:ascii="Arial" w:eastAsia="Times New Roman" w:hAnsi="Arial" w:cs="Arial"/>
          <w:color w:val="0000FF"/>
          <w:sz w:val="16"/>
          <w:szCs w:val="16"/>
          <w:u w:val="single"/>
          <w:lang w:eastAsia="en-GB"/>
        </w:rPr>
        <w:t>R2-2300654</w:t>
      </w:r>
      <w:r w:rsidRPr="00920D96">
        <w:rPr>
          <w:rFonts w:ascii="Arial" w:eastAsia="Times New Roman" w:hAnsi="Arial" w:cs="Arial"/>
          <w:color w:val="0000FF"/>
          <w:sz w:val="16"/>
          <w:szCs w:val="16"/>
          <w:u w:val="single"/>
          <w:lang w:eastAsia="en-GB"/>
        </w:rPr>
        <w:fldChar w:fldCharType="end"/>
      </w:r>
      <w:r w:rsidR="007B1B5E">
        <w:rPr>
          <w:rFonts w:ascii="Arial" w:eastAsia="Times New Roman" w:hAnsi="Arial" w:cs="Arial"/>
          <w:sz w:val="16"/>
          <w:szCs w:val="16"/>
          <w:lang w:eastAsia="en-GB"/>
        </w:rPr>
        <w:t>, “</w:t>
      </w:r>
      <w:r w:rsidR="00691B3A" w:rsidRPr="007B1B5E">
        <w:rPr>
          <w:rFonts w:ascii="Arial" w:eastAsia="Times New Roman" w:hAnsi="Arial" w:cs="Arial"/>
          <w:sz w:val="16"/>
          <w:szCs w:val="16"/>
          <w:lang w:eastAsia="en-GB"/>
        </w:rPr>
        <w:t>Discussion on power saving enhancements for supporting discontinuous coverage”</w:t>
      </w:r>
      <w:r w:rsidR="006E551C" w:rsidRPr="007B1B5E">
        <w:rPr>
          <w:rFonts w:ascii="Arial" w:eastAsia="Times New Roman" w:hAnsi="Arial" w:cs="Arial"/>
          <w:sz w:val="16"/>
          <w:szCs w:val="16"/>
          <w:lang w:eastAsia="en-GB"/>
        </w:rPr>
        <w:t>, Spreadtrum</w:t>
      </w:r>
      <w:r w:rsidR="00B408F1" w:rsidRPr="007B1B5E">
        <w:rPr>
          <w:rFonts w:ascii="Arial" w:eastAsia="Times New Roman" w:hAnsi="Arial" w:cs="Arial"/>
          <w:sz w:val="16"/>
          <w:szCs w:val="16"/>
          <w:lang w:eastAsia="en-GB"/>
        </w:rPr>
        <w:t xml:space="preserve"> Communications</w:t>
      </w:r>
      <w:bookmarkEnd w:id="4"/>
    </w:p>
    <w:bookmarkStart w:id="5" w:name="_Ref131666434"/>
    <w:p w14:paraId="70C5F89A" w14:textId="249B99BB" w:rsidR="00B408F1" w:rsidRPr="00920D96" w:rsidRDefault="00E415AD" w:rsidP="008956FD">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7B1B5E">
        <w:fldChar w:fldCharType="begin"/>
      </w:r>
      <w:r w:rsidRPr="007B1B5E">
        <w:instrText>HYPERLINK "https://www.3gpp.org/ftp/TSG_RAN/WG2_RL2/TSGR2_121/Docs/R2-2300751.zip"</w:instrText>
      </w:r>
      <w:r w:rsidRPr="007B1B5E">
        <w:fldChar w:fldCharType="separate"/>
      </w:r>
      <w:r w:rsidRPr="00920D96">
        <w:rPr>
          <w:rFonts w:ascii="Arial" w:eastAsia="Times New Roman" w:hAnsi="Arial" w:cs="Arial"/>
          <w:color w:val="0000FF"/>
          <w:sz w:val="16"/>
          <w:szCs w:val="16"/>
          <w:u w:val="single"/>
          <w:lang w:eastAsia="en-GB"/>
        </w:rPr>
        <w:t>R2-2300751</w:t>
      </w:r>
      <w:r w:rsidRPr="00920D96">
        <w:rPr>
          <w:rFonts w:ascii="Arial" w:eastAsia="Times New Roman" w:hAnsi="Arial" w:cs="Arial"/>
          <w:color w:val="0000FF"/>
          <w:sz w:val="16"/>
          <w:szCs w:val="16"/>
          <w:u w:val="single"/>
          <w:lang w:eastAsia="en-GB"/>
        </w:rPr>
        <w:fldChar w:fldCharType="end"/>
      </w:r>
      <w:r w:rsidR="007B1B5E">
        <w:rPr>
          <w:rFonts w:ascii="Arial" w:eastAsia="Times New Roman" w:hAnsi="Arial" w:cs="Arial"/>
          <w:sz w:val="16"/>
          <w:szCs w:val="16"/>
          <w:lang w:eastAsia="en-GB"/>
        </w:rPr>
        <w:t>, “</w:t>
      </w:r>
      <w:r w:rsidR="000143D3" w:rsidRPr="007B1B5E">
        <w:rPr>
          <w:rFonts w:ascii="Arial" w:eastAsia="Times New Roman" w:hAnsi="Arial" w:cs="Arial"/>
          <w:sz w:val="16"/>
          <w:szCs w:val="16"/>
          <w:lang w:eastAsia="en-GB"/>
        </w:rPr>
        <w:t>Support on discontinuous coverage in IoT NTN”, A</w:t>
      </w:r>
      <w:r w:rsidR="00963B94" w:rsidRPr="007B1B5E">
        <w:rPr>
          <w:rFonts w:ascii="Arial" w:eastAsia="Times New Roman" w:hAnsi="Arial" w:cs="Arial"/>
          <w:sz w:val="16"/>
          <w:szCs w:val="16"/>
          <w:lang w:eastAsia="en-GB"/>
        </w:rPr>
        <w:t>pple</w:t>
      </w:r>
      <w:bookmarkEnd w:id="5"/>
    </w:p>
    <w:bookmarkStart w:id="6" w:name="_Ref131666435"/>
    <w:p w14:paraId="644AC355" w14:textId="13A6390C" w:rsidR="000143D3" w:rsidRPr="007B1B5E" w:rsidRDefault="00696832" w:rsidP="008956FD">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7B1B5E">
        <w:fldChar w:fldCharType="begin"/>
      </w:r>
      <w:r w:rsidRPr="007B1B5E">
        <w:instrText>HYPERLINK "https://www.3gpp.org/ftp/TSG_RAN/WG2_RL2/TSGR2_121/Docs/R2-2301057.zip"</w:instrText>
      </w:r>
      <w:r w:rsidRPr="007B1B5E">
        <w:fldChar w:fldCharType="separate"/>
      </w:r>
      <w:r w:rsidRPr="00920D96">
        <w:rPr>
          <w:rFonts w:ascii="Arial" w:eastAsia="Times New Roman" w:hAnsi="Arial" w:cs="Arial"/>
          <w:color w:val="0000FF"/>
          <w:sz w:val="16"/>
          <w:szCs w:val="16"/>
          <w:u w:val="single"/>
          <w:lang w:eastAsia="en-GB"/>
        </w:rPr>
        <w:t>R2-2301057</w:t>
      </w:r>
      <w:r w:rsidRPr="00920D96">
        <w:rPr>
          <w:rFonts w:ascii="Arial" w:eastAsia="Times New Roman" w:hAnsi="Arial" w:cs="Arial"/>
          <w:color w:val="0000FF"/>
          <w:sz w:val="16"/>
          <w:szCs w:val="16"/>
          <w:u w:val="single"/>
          <w:lang w:eastAsia="en-GB"/>
        </w:rPr>
        <w:fldChar w:fldCharType="end"/>
      </w:r>
      <w:r w:rsidRPr="007B1B5E">
        <w:rPr>
          <w:rFonts w:ascii="Arial" w:eastAsia="Arial Unicode MS" w:hAnsi="Arial" w:cs="Arial"/>
        </w:rPr>
        <w:t xml:space="preserve">, </w:t>
      </w:r>
      <w:r w:rsidR="00714998" w:rsidRPr="007B1B5E">
        <w:rPr>
          <w:rFonts w:ascii="Arial" w:eastAsia="Arial Unicode MS" w:hAnsi="Arial" w:cs="Arial"/>
        </w:rPr>
        <w:t>“</w:t>
      </w:r>
      <w:r w:rsidR="00714998" w:rsidRPr="007B1B5E">
        <w:rPr>
          <w:rFonts w:ascii="Arial" w:eastAsia="Times New Roman" w:hAnsi="Arial" w:cs="Arial"/>
          <w:sz w:val="16"/>
          <w:szCs w:val="16"/>
          <w:lang w:eastAsia="en-GB"/>
        </w:rPr>
        <w:t>Discussion on discontinuous coverage enhancements</w:t>
      </w:r>
      <w:r w:rsidR="00714998" w:rsidRPr="007B1B5E">
        <w:rPr>
          <w:rFonts w:ascii="Arial" w:eastAsia="Arial Unicode MS" w:hAnsi="Arial" w:cs="Arial"/>
        </w:rPr>
        <w:t>”, ZTE</w:t>
      </w:r>
      <w:bookmarkEnd w:id="6"/>
    </w:p>
    <w:bookmarkStart w:id="7" w:name="_Ref131666437"/>
    <w:p w14:paraId="6AE73B94" w14:textId="1D923F31" w:rsidR="00836F0B" w:rsidRPr="00920D96" w:rsidRDefault="00E9700F" w:rsidP="008956FD">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7B1B5E">
        <w:fldChar w:fldCharType="begin"/>
      </w:r>
      <w:r w:rsidRPr="007B1B5E">
        <w:instrText>HYPERLINK "https://www.3gpp.org/ftp/TSG_RAN/WG2_RL2/TSGR2_121/Docs/R2-2300926.zip"</w:instrText>
      </w:r>
      <w:r w:rsidRPr="007B1B5E">
        <w:fldChar w:fldCharType="separate"/>
      </w:r>
      <w:r w:rsidRPr="00920D96">
        <w:rPr>
          <w:rFonts w:ascii="Arial" w:eastAsia="Times New Roman" w:hAnsi="Arial" w:cs="Arial"/>
          <w:color w:val="0000FF"/>
          <w:sz w:val="16"/>
          <w:szCs w:val="16"/>
          <w:u w:val="single"/>
          <w:lang w:eastAsia="en-GB"/>
        </w:rPr>
        <w:t>R2-2300926</w:t>
      </w:r>
      <w:r w:rsidRPr="00920D96">
        <w:rPr>
          <w:rFonts w:ascii="Arial" w:eastAsia="Times New Roman" w:hAnsi="Arial" w:cs="Arial"/>
          <w:color w:val="0000FF"/>
          <w:sz w:val="16"/>
          <w:szCs w:val="16"/>
          <w:u w:val="single"/>
          <w:lang w:eastAsia="en-GB"/>
        </w:rPr>
        <w:fldChar w:fldCharType="end"/>
      </w:r>
      <w:r w:rsidR="007B1B5E">
        <w:rPr>
          <w:rFonts w:ascii="Arial" w:eastAsia="Times New Roman" w:hAnsi="Arial" w:cs="Arial"/>
          <w:sz w:val="16"/>
          <w:szCs w:val="16"/>
          <w:lang w:eastAsia="en-GB"/>
        </w:rPr>
        <w:t>,</w:t>
      </w:r>
      <w:r w:rsidR="007B35C5" w:rsidRPr="007B1B5E">
        <w:rPr>
          <w:rFonts w:ascii="Arial" w:eastAsia="Times New Roman" w:hAnsi="Arial" w:cs="Arial"/>
          <w:sz w:val="16"/>
          <w:szCs w:val="16"/>
          <w:lang w:eastAsia="en-GB"/>
        </w:rPr>
        <w:t>“</w:t>
      </w:r>
      <w:r w:rsidR="00836F0B" w:rsidRPr="007B1B5E">
        <w:rPr>
          <w:rFonts w:ascii="Arial" w:eastAsia="Times New Roman" w:hAnsi="Arial" w:cs="Arial"/>
          <w:sz w:val="16"/>
          <w:szCs w:val="16"/>
          <w:lang w:eastAsia="en-GB"/>
        </w:rPr>
        <w:t>On  IoT-NTN enhancements for discontinuous coverage.”, Nokia</w:t>
      </w:r>
      <w:r w:rsidR="002F4580" w:rsidRPr="007B1B5E">
        <w:rPr>
          <w:rFonts w:ascii="Arial" w:eastAsia="Times New Roman" w:hAnsi="Arial" w:cs="Arial"/>
          <w:sz w:val="16"/>
          <w:szCs w:val="16"/>
          <w:lang w:eastAsia="en-GB"/>
        </w:rPr>
        <w:t>, Nokia Shanghai Bell</w:t>
      </w:r>
      <w:bookmarkEnd w:id="7"/>
    </w:p>
    <w:bookmarkStart w:id="8" w:name="_Ref131666438"/>
    <w:p w14:paraId="08ADFEF3" w14:textId="5BDDE9B1" w:rsidR="002F4580" w:rsidRPr="007B1B5E" w:rsidRDefault="007B1B5E" w:rsidP="008956FD">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7B1B5E">
        <w:fldChar w:fldCharType="begin"/>
      </w:r>
      <w:r w:rsidRPr="007B1B5E">
        <w:instrText>HYPERLINK "https://www.3gpp.org/ftp/TSG_RAN/WG2_RL2/TSGR2_121/Docs/R2-2300582.zip"</w:instrText>
      </w:r>
      <w:r w:rsidRPr="007B1B5E">
        <w:fldChar w:fldCharType="separate"/>
      </w:r>
      <w:r w:rsidRPr="00920D96">
        <w:rPr>
          <w:rFonts w:ascii="Arial" w:eastAsia="Times New Roman" w:hAnsi="Arial" w:cs="Arial"/>
          <w:color w:val="0000FF"/>
          <w:sz w:val="16"/>
          <w:szCs w:val="16"/>
          <w:u w:val="single"/>
          <w:lang w:eastAsia="en-GB"/>
        </w:rPr>
        <w:t>R2-2300582</w:t>
      </w:r>
      <w:r w:rsidRPr="00920D96">
        <w:rPr>
          <w:rFonts w:ascii="Arial" w:eastAsia="Times New Roman" w:hAnsi="Arial" w:cs="Arial"/>
          <w:color w:val="0000FF"/>
          <w:sz w:val="16"/>
          <w:szCs w:val="16"/>
          <w:u w:val="single"/>
          <w:lang w:eastAsia="en-GB"/>
        </w:rPr>
        <w:fldChar w:fldCharType="end"/>
      </w:r>
      <w:r w:rsidRPr="007B1B5E">
        <w:rPr>
          <w:rFonts w:ascii="Arial" w:eastAsia="Times New Roman" w:hAnsi="Arial" w:cs="Arial"/>
          <w:sz w:val="16"/>
          <w:szCs w:val="16"/>
          <w:lang w:eastAsia="en-GB"/>
        </w:rPr>
        <w:t>, “</w:t>
      </w:r>
      <w:r w:rsidR="00B37190" w:rsidRPr="007B1B5E">
        <w:rPr>
          <w:rFonts w:ascii="Arial" w:eastAsia="Times New Roman" w:hAnsi="Arial" w:cs="Arial"/>
          <w:sz w:val="16"/>
          <w:szCs w:val="16"/>
          <w:lang w:eastAsia="en-GB"/>
        </w:rPr>
        <w:t>IoT-NTN discontinuous coverage enhancements”, InterDigital, Inc.</w:t>
      </w:r>
      <w:bookmarkEnd w:id="8"/>
    </w:p>
    <w:p w14:paraId="3F35E67D" w14:textId="77777777" w:rsidR="00E06B61" w:rsidRPr="00AC3CD2"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AC3CD2" w:rsidRDefault="00886B68" w:rsidP="00E06B61">
      <w:pPr>
        <w:rPr>
          <w:rFonts w:ascii="Arial" w:hAnsi="Arial" w:cs="Arial"/>
        </w:rPr>
      </w:pPr>
    </w:p>
    <w:sectPr w:rsidR="00886B68" w:rsidRPr="00AC3CD2"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A6075F"/>
    <w:multiLevelType w:val="hybridMultilevel"/>
    <w:tmpl w:val="FFD4FD46"/>
    <w:lvl w:ilvl="0" w:tplc="9F9834B2">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877EF4"/>
    <w:multiLevelType w:val="hybridMultilevel"/>
    <w:tmpl w:val="F3C2E9AC"/>
    <w:lvl w:ilvl="0" w:tplc="9F9834B2">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DE36AD3"/>
    <w:multiLevelType w:val="hybridMultilevel"/>
    <w:tmpl w:val="002A8A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890B60"/>
    <w:multiLevelType w:val="hybridMultilevel"/>
    <w:tmpl w:val="7B26D166"/>
    <w:lvl w:ilvl="0" w:tplc="84BA73B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A06897"/>
    <w:multiLevelType w:val="hybridMultilevel"/>
    <w:tmpl w:val="6E123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8046527">
    <w:abstractNumId w:val="25"/>
  </w:num>
  <w:num w:numId="2" w16cid:durableId="1822573651">
    <w:abstractNumId w:val="9"/>
  </w:num>
  <w:num w:numId="3" w16cid:durableId="1293515717">
    <w:abstractNumId w:val="7"/>
  </w:num>
  <w:num w:numId="4" w16cid:durableId="1859391698">
    <w:abstractNumId w:val="20"/>
  </w:num>
  <w:num w:numId="5" w16cid:durableId="642084593">
    <w:abstractNumId w:val="0"/>
  </w:num>
  <w:num w:numId="6" w16cid:durableId="224075879">
    <w:abstractNumId w:val="0"/>
  </w:num>
  <w:num w:numId="7" w16cid:durableId="1432315274">
    <w:abstractNumId w:val="21"/>
  </w:num>
  <w:num w:numId="8" w16cid:durableId="550461415">
    <w:abstractNumId w:val="12"/>
  </w:num>
  <w:num w:numId="9" w16cid:durableId="2113240567">
    <w:abstractNumId w:val="20"/>
  </w:num>
  <w:num w:numId="10" w16cid:durableId="319046138">
    <w:abstractNumId w:val="24"/>
  </w:num>
  <w:num w:numId="11" w16cid:durableId="989089676">
    <w:abstractNumId w:val="16"/>
  </w:num>
  <w:num w:numId="12" w16cid:durableId="3017690">
    <w:abstractNumId w:val="4"/>
  </w:num>
  <w:num w:numId="13" w16cid:durableId="1136416161">
    <w:abstractNumId w:val="8"/>
  </w:num>
  <w:num w:numId="14" w16cid:durableId="1598631832">
    <w:abstractNumId w:val="5"/>
  </w:num>
  <w:num w:numId="15" w16cid:durableId="1873760530">
    <w:abstractNumId w:val="11"/>
  </w:num>
  <w:num w:numId="16" w16cid:durableId="1043483843">
    <w:abstractNumId w:val="3"/>
  </w:num>
  <w:num w:numId="17" w16cid:durableId="2081756601">
    <w:abstractNumId w:val="19"/>
  </w:num>
  <w:num w:numId="18" w16cid:durableId="405349453">
    <w:abstractNumId w:val="2"/>
  </w:num>
  <w:num w:numId="19" w16cid:durableId="1503083248">
    <w:abstractNumId w:val="23"/>
  </w:num>
  <w:num w:numId="20" w16cid:durableId="1899658392">
    <w:abstractNumId w:val="22"/>
  </w:num>
  <w:num w:numId="21" w16cid:durableId="880744961">
    <w:abstractNumId w:val="13"/>
  </w:num>
  <w:num w:numId="22" w16cid:durableId="1932346878">
    <w:abstractNumId w:val="10"/>
  </w:num>
  <w:num w:numId="23" w16cid:durableId="1922060479">
    <w:abstractNumId w:val="15"/>
  </w:num>
  <w:num w:numId="24" w16cid:durableId="695473169">
    <w:abstractNumId w:val="26"/>
  </w:num>
  <w:num w:numId="25" w16cid:durableId="1387337176">
    <w:abstractNumId w:val="14"/>
  </w:num>
  <w:num w:numId="26" w16cid:durableId="2116167557">
    <w:abstractNumId w:val="17"/>
  </w:num>
  <w:num w:numId="27" w16cid:durableId="1237012019">
    <w:abstractNumId w:val="18"/>
  </w:num>
  <w:num w:numId="28" w16cid:durableId="245965931">
    <w:abstractNumId w:val="6"/>
  </w:num>
  <w:num w:numId="29" w16cid:durableId="18449787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43D3"/>
    <w:rsid w:val="0002018A"/>
    <w:rsid w:val="0002374E"/>
    <w:rsid w:val="00023DF9"/>
    <w:rsid w:val="00023F38"/>
    <w:rsid w:val="000257FE"/>
    <w:rsid w:val="00025E24"/>
    <w:rsid w:val="00026EE4"/>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46E2"/>
    <w:rsid w:val="000768DF"/>
    <w:rsid w:val="000770C6"/>
    <w:rsid w:val="000778B1"/>
    <w:rsid w:val="0008007A"/>
    <w:rsid w:val="00084E00"/>
    <w:rsid w:val="00091528"/>
    <w:rsid w:val="00094272"/>
    <w:rsid w:val="00094E0C"/>
    <w:rsid w:val="00096B39"/>
    <w:rsid w:val="000A01A1"/>
    <w:rsid w:val="000A079F"/>
    <w:rsid w:val="000A2454"/>
    <w:rsid w:val="000A3320"/>
    <w:rsid w:val="000A7241"/>
    <w:rsid w:val="000B02CB"/>
    <w:rsid w:val="000B0815"/>
    <w:rsid w:val="000B126F"/>
    <w:rsid w:val="000B2590"/>
    <w:rsid w:val="000B2839"/>
    <w:rsid w:val="000B423B"/>
    <w:rsid w:val="000B4E71"/>
    <w:rsid w:val="000B5698"/>
    <w:rsid w:val="000B7979"/>
    <w:rsid w:val="000B7E38"/>
    <w:rsid w:val="000C2824"/>
    <w:rsid w:val="000C3A07"/>
    <w:rsid w:val="000C66F4"/>
    <w:rsid w:val="000C686C"/>
    <w:rsid w:val="000D34BB"/>
    <w:rsid w:val="000D5BC5"/>
    <w:rsid w:val="000D69AB"/>
    <w:rsid w:val="000D7976"/>
    <w:rsid w:val="000E04BC"/>
    <w:rsid w:val="000E2C2B"/>
    <w:rsid w:val="000E3593"/>
    <w:rsid w:val="000E4537"/>
    <w:rsid w:val="000E4E9C"/>
    <w:rsid w:val="000E502C"/>
    <w:rsid w:val="000E7C3D"/>
    <w:rsid w:val="000F02CA"/>
    <w:rsid w:val="000F057A"/>
    <w:rsid w:val="000F0F99"/>
    <w:rsid w:val="000F2A63"/>
    <w:rsid w:val="000F52F1"/>
    <w:rsid w:val="0010261C"/>
    <w:rsid w:val="0011068A"/>
    <w:rsid w:val="00110BB5"/>
    <w:rsid w:val="00114B5E"/>
    <w:rsid w:val="001157D4"/>
    <w:rsid w:val="00116140"/>
    <w:rsid w:val="00121A61"/>
    <w:rsid w:val="00121AA8"/>
    <w:rsid w:val="001229EA"/>
    <w:rsid w:val="00122B31"/>
    <w:rsid w:val="00122FB9"/>
    <w:rsid w:val="00124048"/>
    <w:rsid w:val="0012679B"/>
    <w:rsid w:val="00127A40"/>
    <w:rsid w:val="00127CBE"/>
    <w:rsid w:val="00127F11"/>
    <w:rsid w:val="00131547"/>
    <w:rsid w:val="00133740"/>
    <w:rsid w:val="00135911"/>
    <w:rsid w:val="001379CF"/>
    <w:rsid w:val="00143627"/>
    <w:rsid w:val="00144DBC"/>
    <w:rsid w:val="00144DBF"/>
    <w:rsid w:val="00144FE3"/>
    <w:rsid w:val="00145B33"/>
    <w:rsid w:val="001465E4"/>
    <w:rsid w:val="00152D09"/>
    <w:rsid w:val="001545F4"/>
    <w:rsid w:val="00154C94"/>
    <w:rsid w:val="00155174"/>
    <w:rsid w:val="0015737B"/>
    <w:rsid w:val="001577E8"/>
    <w:rsid w:val="00157C4F"/>
    <w:rsid w:val="00161074"/>
    <w:rsid w:val="00161D69"/>
    <w:rsid w:val="001658C9"/>
    <w:rsid w:val="00167978"/>
    <w:rsid w:val="00171C3F"/>
    <w:rsid w:val="00172C95"/>
    <w:rsid w:val="00173756"/>
    <w:rsid w:val="00173DF4"/>
    <w:rsid w:val="0017474C"/>
    <w:rsid w:val="00176101"/>
    <w:rsid w:val="001818A5"/>
    <w:rsid w:val="00182416"/>
    <w:rsid w:val="00183A09"/>
    <w:rsid w:val="00184048"/>
    <w:rsid w:val="00184EB2"/>
    <w:rsid w:val="001859DA"/>
    <w:rsid w:val="00186469"/>
    <w:rsid w:val="00186931"/>
    <w:rsid w:val="00186A83"/>
    <w:rsid w:val="00186D36"/>
    <w:rsid w:val="00190637"/>
    <w:rsid w:val="00191087"/>
    <w:rsid w:val="0019388B"/>
    <w:rsid w:val="0019667B"/>
    <w:rsid w:val="00196E33"/>
    <w:rsid w:val="00197B9A"/>
    <w:rsid w:val="001A074E"/>
    <w:rsid w:val="001A12FE"/>
    <w:rsid w:val="001A1EE3"/>
    <w:rsid w:val="001A3197"/>
    <w:rsid w:val="001A4B92"/>
    <w:rsid w:val="001B56B4"/>
    <w:rsid w:val="001B7267"/>
    <w:rsid w:val="001C09B3"/>
    <w:rsid w:val="001C0B81"/>
    <w:rsid w:val="001C1B2E"/>
    <w:rsid w:val="001C2F95"/>
    <w:rsid w:val="001C6C22"/>
    <w:rsid w:val="001C7317"/>
    <w:rsid w:val="001C78C6"/>
    <w:rsid w:val="001C7C26"/>
    <w:rsid w:val="001D55C2"/>
    <w:rsid w:val="001D7716"/>
    <w:rsid w:val="001D7D4B"/>
    <w:rsid w:val="001E1CAD"/>
    <w:rsid w:val="001F34C0"/>
    <w:rsid w:val="001F4191"/>
    <w:rsid w:val="001F5EAA"/>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34"/>
    <w:rsid w:val="00244BE7"/>
    <w:rsid w:val="00245432"/>
    <w:rsid w:val="00246401"/>
    <w:rsid w:val="00246E4A"/>
    <w:rsid w:val="002479FA"/>
    <w:rsid w:val="00251008"/>
    <w:rsid w:val="00252264"/>
    <w:rsid w:val="00252505"/>
    <w:rsid w:val="00252837"/>
    <w:rsid w:val="00252A93"/>
    <w:rsid w:val="00252FED"/>
    <w:rsid w:val="002541B0"/>
    <w:rsid w:val="0025604F"/>
    <w:rsid w:val="00257082"/>
    <w:rsid w:val="002614E5"/>
    <w:rsid w:val="0026269B"/>
    <w:rsid w:val="00263ED9"/>
    <w:rsid w:val="002646FB"/>
    <w:rsid w:val="002715AB"/>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552E"/>
    <w:rsid w:val="002A602E"/>
    <w:rsid w:val="002B1870"/>
    <w:rsid w:val="002B4ABB"/>
    <w:rsid w:val="002B627A"/>
    <w:rsid w:val="002B644C"/>
    <w:rsid w:val="002B717C"/>
    <w:rsid w:val="002C1BC0"/>
    <w:rsid w:val="002C3012"/>
    <w:rsid w:val="002C3BED"/>
    <w:rsid w:val="002C4DCF"/>
    <w:rsid w:val="002D0E31"/>
    <w:rsid w:val="002D53D0"/>
    <w:rsid w:val="002D55EE"/>
    <w:rsid w:val="002D5B0B"/>
    <w:rsid w:val="002D7553"/>
    <w:rsid w:val="002D7D5D"/>
    <w:rsid w:val="002E1978"/>
    <w:rsid w:val="002F3C3E"/>
    <w:rsid w:val="002F4580"/>
    <w:rsid w:val="002F4672"/>
    <w:rsid w:val="002F4D26"/>
    <w:rsid w:val="002F7FE1"/>
    <w:rsid w:val="0030072A"/>
    <w:rsid w:val="00301CD4"/>
    <w:rsid w:val="00301D78"/>
    <w:rsid w:val="0030215B"/>
    <w:rsid w:val="003030A5"/>
    <w:rsid w:val="003030AF"/>
    <w:rsid w:val="003045E4"/>
    <w:rsid w:val="003046A5"/>
    <w:rsid w:val="0030478A"/>
    <w:rsid w:val="00304A1C"/>
    <w:rsid w:val="00305C14"/>
    <w:rsid w:val="0031071E"/>
    <w:rsid w:val="00311919"/>
    <w:rsid w:val="00312181"/>
    <w:rsid w:val="00314BBE"/>
    <w:rsid w:val="0031580A"/>
    <w:rsid w:val="00317306"/>
    <w:rsid w:val="0032326C"/>
    <w:rsid w:val="003242EF"/>
    <w:rsid w:val="003264A8"/>
    <w:rsid w:val="00326E47"/>
    <w:rsid w:val="00326E5E"/>
    <w:rsid w:val="003272DC"/>
    <w:rsid w:val="00330825"/>
    <w:rsid w:val="003348AD"/>
    <w:rsid w:val="003349E9"/>
    <w:rsid w:val="00340B62"/>
    <w:rsid w:val="00340CC3"/>
    <w:rsid w:val="00340F1E"/>
    <w:rsid w:val="0034336F"/>
    <w:rsid w:val="003434BE"/>
    <w:rsid w:val="00343BA2"/>
    <w:rsid w:val="00352217"/>
    <w:rsid w:val="00352232"/>
    <w:rsid w:val="003534E4"/>
    <w:rsid w:val="00353E5A"/>
    <w:rsid w:val="003562DD"/>
    <w:rsid w:val="00357BA9"/>
    <w:rsid w:val="00360542"/>
    <w:rsid w:val="003616EE"/>
    <w:rsid w:val="003660A4"/>
    <w:rsid w:val="00366302"/>
    <w:rsid w:val="003670EC"/>
    <w:rsid w:val="00373E7B"/>
    <w:rsid w:val="003763AB"/>
    <w:rsid w:val="00377064"/>
    <w:rsid w:val="0037776C"/>
    <w:rsid w:val="00377A6E"/>
    <w:rsid w:val="003842A0"/>
    <w:rsid w:val="00385E81"/>
    <w:rsid w:val="0038603C"/>
    <w:rsid w:val="00386178"/>
    <w:rsid w:val="00387CC3"/>
    <w:rsid w:val="00387E49"/>
    <w:rsid w:val="00387EF6"/>
    <w:rsid w:val="00392CCB"/>
    <w:rsid w:val="00392F7C"/>
    <w:rsid w:val="003937BA"/>
    <w:rsid w:val="0039482C"/>
    <w:rsid w:val="0039544C"/>
    <w:rsid w:val="0039572F"/>
    <w:rsid w:val="003966D0"/>
    <w:rsid w:val="0039763A"/>
    <w:rsid w:val="00397F2C"/>
    <w:rsid w:val="003A253C"/>
    <w:rsid w:val="003A74F2"/>
    <w:rsid w:val="003A768F"/>
    <w:rsid w:val="003A7865"/>
    <w:rsid w:val="003B0E81"/>
    <w:rsid w:val="003B1ACA"/>
    <w:rsid w:val="003B36F8"/>
    <w:rsid w:val="003B3C9E"/>
    <w:rsid w:val="003B4781"/>
    <w:rsid w:val="003B47CA"/>
    <w:rsid w:val="003B47E5"/>
    <w:rsid w:val="003B5F3F"/>
    <w:rsid w:val="003B7D65"/>
    <w:rsid w:val="003C1231"/>
    <w:rsid w:val="003C14E7"/>
    <w:rsid w:val="003C177B"/>
    <w:rsid w:val="003C1FB8"/>
    <w:rsid w:val="003C26B1"/>
    <w:rsid w:val="003C29F8"/>
    <w:rsid w:val="003C2F91"/>
    <w:rsid w:val="003C3095"/>
    <w:rsid w:val="003C5610"/>
    <w:rsid w:val="003C598A"/>
    <w:rsid w:val="003C6502"/>
    <w:rsid w:val="003C69F1"/>
    <w:rsid w:val="003C7D80"/>
    <w:rsid w:val="003D0DB2"/>
    <w:rsid w:val="003D11F4"/>
    <w:rsid w:val="003D2B95"/>
    <w:rsid w:val="003D368B"/>
    <w:rsid w:val="003D36F6"/>
    <w:rsid w:val="003D4786"/>
    <w:rsid w:val="003D4EC1"/>
    <w:rsid w:val="003D5970"/>
    <w:rsid w:val="003D5E8E"/>
    <w:rsid w:val="003D68E5"/>
    <w:rsid w:val="003E01AA"/>
    <w:rsid w:val="003E2443"/>
    <w:rsid w:val="003E26D7"/>
    <w:rsid w:val="003E2DC1"/>
    <w:rsid w:val="003E319B"/>
    <w:rsid w:val="003E64D5"/>
    <w:rsid w:val="003F3F26"/>
    <w:rsid w:val="003F50DD"/>
    <w:rsid w:val="003F649E"/>
    <w:rsid w:val="0040551E"/>
    <w:rsid w:val="004133CB"/>
    <w:rsid w:val="00414A12"/>
    <w:rsid w:val="00414DCA"/>
    <w:rsid w:val="00416E03"/>
    <w:rsid w:val="00423EAC"/>
    <w:rsid w:val="00423F56"/>
    <w:rsid w:val="00424B1B"/>
    <w:rsid w:val="00424EB8"/>
    <w:rsid w:val="004257E9"/>
    <w:rsid w:val="004257F8"/>
    <w:rsid w:val="004258D5"/>
    <w:rsid w:val="0043083C"/>
    <w:rsid w:val="004316C0"/>
    <w:rsid w:val="004325FC"/>
    <w:rsid w:val="004406A6"/>
    <w:rsid w:val="004413AE"/>
    <w:rsid w:val="004425B2"/>
    <w:rsid w:val="00442C71"/>
    <w:rsid w:val="00443C18"/>
    <w:rsid w:val="0044437C"/>
    <w:rsid w:val="0044580A"/>
    <w:rsid w:val="004469A8"/>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1F39"/>
    <w:rsid w:val="00492C9D"/>
    <w:rsid w:val="004947BB"/>
    <w:rsid w:val="004A25F0"/>
    <w:rsid w:val="004A5C55"/>
    <w:rsid w:val="004A62C4"/>
    <w:rsid w:val="004A69D0"/>
    <w:rsid w:val="004B1631"/>
    <w:rsid w:val="004B4091"/>
    <w:rsid w:val="004B446F"/>
    <w:rsid w:val="004B68A7"/>
    <w:rsid w:val="004C3FEF"/>
    <w:rsid w:val="004C4C66"/>
    <w:rsid w:val="004C54F7"/>
    <w:rsid w:val="004D062D"/>
    <w:rsid w:val="004D20F7"/>
    <w:rsid w:val="004D2E3F"/>
    <w:rsid w:val="004D7879"/>
    <w:rsid w:val="004E4568"/>
    <w:rsid w:val="004E668C"/>
    <w:rsid w:val="004F0A44"/>
    <w:rsid w:val="004F2AB4"/>
    <w:rsid w:val="004F3C96"/>
    <w:rsid w:val="004F4154"/>
    <w:rsid w:val="004F6FE6"/>
    <w:rsid w:val="004F7576"/>
    <w:rsid w:val="005004EB"/>
    <w:rsid w:val="00502462"/>
    <w:rsid w:val="005025FA"/>
    <w:rsid w:val="00506008"/>
    <w:rsid w:val="00506A7D"/>
    <w:rsid w:val="00513821"/>
    <w:rsid w:val="00523801"/>
    <w:rsid w:val="00523A75"/>
    <w:rsid w:val="005259BC"/>
    <w:rsid w:val="00532805"/>
    <w:rsid w:val="00532948"/>
    <w:rsid w:val="00534F80"/>
    <w:rsid w:val="005362B4"/>
    <w:rsid w:val="0053751B"/>
    <w:rsid w:val="00542BEB"/>
    <w:rsid w:val="0054395A"/>
    <w:rsid w:val="00543A51"/>
    <w:rsid w:val="00544A1F"/>
    <w:rsid w:val="00544D11"/>
    <w:rsid w:val="00546FCE"/>
    <w:rsid w:val="00547611"/>
    <w:rsid w:val="005501D9"/>
    <w:rsid w:val="00551638"/>
    <w:rsid w:val="00554B52"/>
    <w:rsid w:val="00555474"/>
    <w:rsid w:val="005606AE"/>
    <w:rsid w:val="00562223"/>
    <w:rsid w:val="00562635"/>
    <w:rsid w:val="00565CB6"/>
    <w:rsid w:val="00570A68"/>
    <w:rsid w:val="00572BDA"/>
    <w:rsid w:val="005736CD"/>
    <w:rsid w:val="00574590"/>
    <w:rsid w:val="005801CD"/>
    <w:rsid w:val="005807CB"/>
    <w:rsid w:val="00586C80"/>
    <w:rsid w:val="00592319"/>
    <w:rsid w:val="0059517D"/>
    <w:rsid w:val="005959F0"/>
    <w:rsid w:val="0059652E"/>
    <w:rsid w:val="00596F34"/>
    <w:rsid w:val="00597B51"/>
    <w:rsid w:val="005A1322"/>
    <w:rsid w:val="005A2EEB"/>
    <w:rsid w:val="005A390D"/>
    <w:rsid w:val="005A63F0"/>
    <w:rsid w:val="005A7E53"/>
    <w:rsid w:val="005B0F7F"/>
    <w:rsid w:val="005B2B9D"/>
    <w:rsid w:val="005B2CC8"/>
    <w:rsid w:val="005B2D25"/>
    <w:rsid w:val="005B3AB4"/>
    <w:rsid w:val="005C0406"/>
    <w:rsid w:val="005C095A"/>
    <w:rsid w:val="005C26A3"/>
    <w:rsid w:val="005C2774"/>
    <w:rsid w:val="005C31C1"/>
    <w:rsid w:val="005D4ECB"/>
    <w:rsid w:val="005D5E68"/>
    <w:rsid w:val="005D7660"/>
    <w:rsid w:val="005D7A98"/>
    <w:rsid w:val="005E10B7"/>
    <w:rsid w:val="005E37E0"/>
    <w:rsid w:val="005E4AED"/>
    <w:rsid w:val="005E53A3"/>
    <w:rsid w:val="005E5482"/>
    <w:rsid w:val="005E7480"/>
    <w:rsid w:val="005E7BF1"/>
    <w:rsid w:val="005F0D19"/>
    <w:rsid w:val="005F0E39"/>
    <w:rsid w:val="005F1BAA"/>
    <w:rsid w:val="005F57EA"/>
    <w:rsid w:val="005F583F"/>
    <w:rsid w:val="0060248C"/>
    <w:rsid w:val="00602B33"/>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1E3E"/>
    <w:rsid w:val="0065483E"/>
    <w:rsid w:val="00656896"/>
    <w:rsid w:val="00656E33"/>
    <w:rsid w:val="00660FF4"/>
    <w:rsid w:val="0066127D"/>
    <w:rsid w:val="00662657"/>
    <w:rsid w:val="0066317E"/>
    <w:rsid w:val="00663B56"/>
    <w:rsid w:val="006655A7"/>
    <w:rsid w:val="00672460"/>
    <w:rsid w:val="00673D10"/>
    <w:rsid w:val="00674AD0"/>
    <w:rsid w:val="00675152"/>
    <w:rsid w:val="00675D75"/>
    <w:rsid w:val="006821C5"/>
    <w:rsid w:val="006823D8"/>
    <w:rsid w:val="00682694"/>
    <w:rsid w:val="00682B26"/>
    <w:rsid w:val="00684EAA"/>
    <w:rsid w:val="00685D40"/>
    <w:rsid w:val="00691B3A"/>
    <w:rsid w:val="00692486"/>
    <w:rsid w:val="00695125"/>
    <w:rsid w:val="00696832"/>
    <w:rsid w:val="00697C83"/>
    <w:rsid w:val="006A0981"/>
    <w:rsid w:val="006A259B"/>
    <w:rsid w:val="006A34AB"/>
    <w:rsid w:val="006A3C29"/>
    <w:rsid w:val="006A4E54"/>
    <w:rsid w:val="006A6BF0"/>
    <w:rsid w:val="006B0746"/>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51C"/>
    <w:rsid w:val="006E5FEC"/>
    <w:rsid w:val="006E72F6"/>
    <w:rsid w:val="006F06D6"/>
    <w:rsid w:val="006F3138"/>
    <w:rsid w:val="006F4167"/>
    <w:rsid w:val="006F436D"/>
    <w:rsid w:val="006F5EC5"/>
    <w:rsid w:val="006F774F"/>
    <w:rsid w:val="00700343"/>
    <w:rsid w:val="00700785"/>
    <w:rsid w:val="00704C05"/>
    <w:rsid w:val="00706782"/>
    <w:rsid w:val="007067A9"/>
    <w:rsid w:val="00711018"/>
    <w:rsid w:val="007112C1"/>
    <w:rsid w:val="007127A3"/>
    <w:rsid w:val="00712D6C"/>
    <w:rsid w:val="0071418F"/>
    <w:rsid w:val="00714998"/>
    <w:rsid w:val="00714A0C"/>
    <w:rsid w:val="00715A7F"/>
    <w:rsid w:val="00724C4C"/>
    <w:rsid w:val="00727C36"/>
    <w:rsid w:val="007332A6"/>
    <w:rsid w:val="0073661C"/>
    <w:rsid w:val="0073678F"/>
    <w:rsid w:val="00736D03"/>
    <w:rsid w:val="00742DB9"/>
    <w:rsid w:val="00743638"/>
    <w:rsid w:val="00746995"/>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49A1"/>
    <w:rsid w:val="00775CA9"/>
    <w:rsid w:val="00775EE0"/>
    <w:rsid w:val="007767B5"/>
    <w:rsid w:val="007860F8"/>
    <w:rsid w:val="00786685"/>
    <w:rsid w:val="00786CFC"/>
    <w:rsid w:val="00792FC8"/>
    <w:rsid w:val="00795231"/>
    <w:rsid w:val="00795B75"/>
    <w:rsid w:val="00795C42"/>
    <w:rsid w:val="007976B7"/>
    <w:rsid w:val="0079794B"/>
    <w:rsid w:val="00797C88"/>
    <w:rsid w:val="007A0AC2"/>
    <w:rsid w:val="007A2FDF"/>
    <w:rsid w:val="007A3EC8"/>
    <w:rsid w:val="007A3F3A"/>
    <w:rsid w:val="007A42FA"/>
    <w:rsid w:val="007A703A"/>
    <w:rsid w:val="007B009A"/>
    <w:rsid w:val="007B10E7"/>
    <w:rsid w:val="007B1B5E"/>
    <w:rsid w:val="007B2CBF"/>
    <w:rsid w:val="007B3397"/>
    <w:rsid w:val="007B35C5"/>
    <w:rsid w:val="007B45F6"/>
    <w:rsid w:val="007B595E"/>
    <w:rsid w:val="007B5D0C"/>
    <w:rsid w:val="007B656B"/>
    <w:rsid w:val="007B78C7"/>
    <w:rsid w:val="007B7AD2"/>
    <w:rsid w:val="007C29C5"/>
    <w:rsid w:val="007C31A5"/>
    <w:rsid w:val="007C3CC5"/>
    <w:rsid w:val="007C5187"/>
    <w:rsid w:val="007C571F"/>
    <w:rsid w:val="007C633D"/>
    <w:rsid w:val="007C6936"/>
    <w:rsid w:val="007D070F"/>
    <w:rsid w:val="007D1123"/>
    <w:rsid w:val="007D6527"/>
    <w:rsid w:val="007E20FE"/>
    <w:rsid w:val="007E2A99"/>
    <w:rsid w:val="007E5F21"/>
    <w:rsid w:val="007E6B31"/>
    <w:rsid w:val="007F17FC"/>
    <w:rsid w:val="007F3459"/>
    <w:rsid w:val="007F45BD"/>
    <w:rsid w:val="007F54C8"/>
    <w:rsid w:val="008009D7"/>
    <w:rsid w:val="00801F25"/>
    <w:rsid w:val="00804027"/>
    <w:rsid w:val="00804CA7"/>
    <w:rsid w:val="00804CD9"/>
    <w:rsid w:val="0080575B"/>
    <w:rsid w:val="00810140"/>
    <w:rsid w:val="0081064F"/>
    <w:rsid w:val="008107DE"/>
    <w:rsid w:val="00811714"/>
    <w:rsid w:val="00814F1E"/>
    <w:rsid w:val="008201F9"/>
    <w:rsid w:val="00821330"/>
    <w:rsid w:val="00822447"/>
    <w:rsid w:val="00824608"/>
    <w:rsid w:val="008276F2"/>
    <w:rsid w:val="008311C8"/>
    <w:rsid w:val="008324C5"/>
    <w:rsid w:val="00833709"/>
    <w:rsid w:val="00833C00"/>
    <w:rsid w:val="00834AA9"/>
    <w:rsid w:val="00836F0B"/>
    <w:rsid w:val="00842E29"/>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76128"/>
    <w:rsid w:val="0088176E"/>
    <w:rsid w:val="008867A8"/>
    <w:rsid w:val="00886B68"/>
    <w:rsid w:val="00887BBC"/>
    <w:rsid w:val="00890C96"/>
    <w:rsid w:val="00892383"/>
    <w:rsid w:val="008956FD"/>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314D"/>
    <w:rsid w:val="008D5C5B"/>
    <w:rsid w:val="008D5D65"/>
    <w:rsid w:val="008D60AF"/>
    <w:rsid w:val="008D6A68"/>
    <w:rsid w:val="008E0636"/>
    <w:rsid w:val="008E15D3"/>
    <w:rsid w:val="008E2969"/>
    <w:rsid w:val="008E3A00"/>
    <w:rsid w:val="008E3F2F"/>
    <w:rsid w:val="008E5E29"/>
    <w:rsid w:val="008E6000"/>
    <w:rsid w:val="008E6771"/>
    <w:rsid w:val="008E7F5C"/>
    <w:rsid w:val="008F1B40"/>
    <w:rsid w:val="008F1CA5"/>
    <w:rsid w:val="008F36AE"/>
    <w:rsid w:val="008F475E"/>
    <w:rsid w:val="008F4846"/>
    <w:rsid w:val="008F5C49"/>
    <w:rsid w:val="008F650D"/>
    <w:rsid w:val="00900E9D"/>
    <w:rsid w:val="0090236D"/>
    <w:rsid w:val="00902A68"/>
    <w:rsid w:val="00904B75"/>
    <w:rsid w:val="00906266"/>
    <w:rsid w:val="009072C2"/>
    <w:rsid w:val="0090760F"/>
    <w:rsid w:val="0090768E"/>
    <w:rsid w:val="00912D1C"/>
    <w:rsid w:val="00913B0C"/>
    <w:rsid w:val="009154EE"/>
    <w:rsid w:val="00915524"/>
    <w:rsid w:val="009203F3"/>
    <w:rsid w:val="00920751"/>
    <w:rsid w:val="00920B33"/>
    <w:rsid w:val="00920D96"/>
    <w:rsid w:val="009233E7"/>
    <w:rsid w:val="00925B19"/>
    <w:rsid w:val="00926C43"/>
    <w:rsid w:val="009270B4"/>
    <w:rsid w:val="00930000"/>
    <w:rsid w:val="00930D22"/>
    <w:rsid w:val="00932021"/>
    <w:rsid w:val="0093623F"/>
    <w:rsid w:val="00937DBB"/>
    <w:rsid w:val="00941184"/>
    <w:rsid w:val="00942B49"/>
    <w:rsid w:val="00943811"/>
    <w:rsid w:val="0094457C"/>
    <w:rsid w:val="00944EB2"/>
    <w:rsid w:val="00945ACA"/>
    <w:rsid w:val="00946AAA"/>
    <w:rsid w:val="009545C2"/>
    <w:rsid w:val="0096105D"/>
    <w:rsid w:val="0096227D"/>
    <w:rsid w:val="00963B94"/>
    <w:rsid w:val="00966CA5"/>
    <w:rsid w:val="00967473"/>
    <w:rsid w:val="00967AE0"/>
    <w:rsid w:val="00971440"/>
    <w:rsid w:val="0097311E"/>
    <w:rsid w:val="00977436"/>
    <w:rsid w:val="00983D92"/>
    <w:rsid w:val="00986837"/>
    <w:rsid w:val="0098684D"/>
    <w:rsid w:val="00986D62"/>
    <w:rsid w:val="0098743D"/>
    <w:rsid w:val="0098757A"/>
    <w:rsid w:val="00987B13"/>
    <w:rsid w:val="00991BA2"/>
    <w:rsid w:val="0099483B"/>
    <w:rsid w:val="00995011"/>
    <w:rsid w:val="009955DE"/>
    <w:rsid w:val="0099583D"/>
    <w:rsid w:val="0099611F"/>
    <w:rsid w:val="00997FA3"/>
    <w:rsid w:val="009A0018"/>
    <w:rsid w:val="009A1D31"/>
    <w:rsid w:val="009A50D5"/>
    <w:rsid w:val="009A52B0"/>
    <w:rsid w:val="009A6C62"/>
    <w:rsid w:val="009B02E4"/>
    <w:rsid w:val="009B45DC"/>
    <w:rsid w:val="009B4DFB"/>
    <w:rsid w:val="009B528A"/>
    <w:rsid w:val="009B6DB9"/>
    <w:rsid w:val="009C195C"/>
    <w:rsid w:val="009C2989"/>
    <w:rsid w:val="009C3228"/>
    <w:rsid w:val="009C578B"/>
    <w:rsid w:val="009C73DD"/>
    <w:rsid w:val="009D445D"/>
    <w:rsid w:val="009D6C88"/>
    <w:rsid w:val="009D6E71"/>
    <w:rsid w:val="009D7EFD"/>
    <w:rsid w:val="009E2FCC"/>
    <w:rsid w:val="009F1CEC"/>
    <w:rsid w:val="009F33EE"/>
    <w:rsid w:val="009F6166"/>
    <w:rsid w:val="00A003A5"/>
    <w:rsid w:val="00A0526D"/>
    <w:rsid w:val="00A10358"/>
    <w:rsid w:val="00A16A31"/>
    <w:rsid w:val="00A20494"/>
    <w:rsid w:val="00A2399B"/>
    <w:rsid w:val="00A25167"/>
    <w:rsid w:val="00A255DE"/>
    <w:rsid w:val="00A3024B"/>
    <w:rsid w:val="00A32D79"/>
    <w:rsid w:val="00A33969"/>
    <w:rsid w:val="00A357D6"/>
    <w:rsid w:val="00A35B0F"/>
    <w:rsid w:val="00A40D4D"/>
    <w:rsid w:val="00A40F40"/>
    <w:rsid w:val="00A41051"/>
    <w:rsid w:val="00A42990"/>
    <w:rsid w:val="00A43F17"/>
    <w:rsid w:val="00A45900"/>
    <w:rsid w:val="00A46703"/>
    <w:rsid w:val="00A473DB"/>
    <w:rsid w:val="00A51546"/>
    <w:rsid w:val="00A51D5A"/>
    <w:rsid w:val="00A543D3"/>
    <w:rsid w:val="00A56BD9"/>
    <w:rsid w:val="00A57C34"/>
    <w:rsid w:val="00A6000C"/>
    <w:rsid w:val="00A61393"/>
    <w:rsid w:val="00A63B2B"/>
    <w:rsid w:val="00A63DA0"/>
    <w:rsid w:val="00A65A60"/>
    <w:rsid w:val="00A65D0D"/>
    <w:rsid w:val="00A673FF"/>
    <w:rsid w:val="00A7193A"/>
    <w:rsid w:val="00A72DEC"/>
    <w:rsid w:val="00A740CD"/>
    <w:rsid w:val="00A83BEE"/>
    <w:rsid w:val="00A84334"/>
    <w:rsid w:val="00A84AD3"/>
    <w:rsid w:val="00A85582"/>
    <w:rsid w:val="00A8583A"/>
    <w:rsid w:val="00A85DD8"/>
    <w:rsid w:val="00A86E69"/>
    <w:rsid w:val="00A8767E"/>
    <w:rsid w:val="00A91703"/>
    <w:rsid w:val="00A94C78"/>
    <w:rsid w:val="00A950D4"/>
    <w:rsid w:val="00A9648D"/>
    <w:rsid w:val="00AA0774"/>
    <w:rsid w:val="00AA595D"/>
    <w:rsid w:val="00AB0F02"/>
    <w:rsid w:val="00AB3AB2"/>
    <w:rsid w:val="00AB44FB"/>
    <w:rsid w:val="00AB5097"/>
    <w:rsid w:val="00AB67CA"/>
    <w:rsid w:val="00AB7231"/>
    <w:rsid w:val="00AC1318"/>
    <w:rsid w:val="00AC3CD2"/>
    <w:rsid w:val="00AC3F39"/>
    <w:rsid w:val="00AC4D67"/>
    <w:rsid w:val="00AC6DCC"/>
    <w:rsid w:val="00AC6EBD"/>
    <w:rsid w:val="00AC7C14"/>
    <w:rsid w:val="00AD0BD3"/>
    <w:rsid w:val="00AD10A8"/>
    <w:rsid w:val="00AD1B9D"/>
    <w:rsid w:val="00AD4E59"/>
    <w:rsid w:val="00AD4FB5"/>
    <w:rsid w:val="00AE039B"/>
    <w:rsid w:val="00AE28B1"/>
    <w:rsid w:val="00AE3904"/>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10C6C"/>
    <w:rsid w:val="00B1123C"/>
    <w:rsid w:val="00B12753"/>
    <w:rsid w:val="00B12A0A"/>
    <w:rsid w:val="00B1497C"/>
    <w:rsid w:val="00B16728"/>
    <w:rsid w:val="00B17FF0"/>
    <w:rsid w:val="00B2050B"/>
    <w:rsid w:val="00B2204F"/>
    <w:rsid w:val="00B2257C"/>
    <w:rsid w:val="00B22950"/>
    <w:rsid w:val="00B24FF2"/>
    <w:rsid w:val="00B270DD"/>
    <w:rsid w:val="00B30128"/>
    <w:rsid w:val="00B33DDC"/>
    <w:rsid w:val="00B34366"/>
    <w:rsid w:val="00B34C51"/>
    <w:rsid w:val="00B35DAA"/>
    <w:rsid w:val="00B35ED4"/>
    <w:rsid w:val="00B369D5"/>
    <w:rsid w:val="00B37190"/>
    <w:rsid w:val="00B40097"/>
    <w:rsid w:val="00B40787"/>
    <w:rsid w:val="00B408F1"/>
    <w:rsid w:val="00B4134E"/>
    <w:rsid w:val="00B42A88"/>
    <w:rsid w:val="00B42E5D"/>
    <w:rsid w:val="00B43A96"/>
    <w:rsid w:val="00B45CD6"/>
    <w:rsid w:val="00B45DEF"/>
    <w:rsid w:val="00B512D0"/>
    <w:rsid w:val="00B54D56"/>
    <w:rsid w:val="00B57FE1"/>
    <w:rsid w:val="00B6226B"/>
    <w:rsid w:val="00B64ACB"/>
    <w:rsid w:val="00B6677A"/>
    <w:rsid w:val="00B70396"/>
    <w:rsid w:val="00B7497F"/>
    <w:rsid w:val="00B75A91"/>
    <w:rsid w:val="00B77592"/>
    <w:rsid w:val="00B8158F"/>
    <w:rsid w:val="00B83111"/>
    <w:rsid w:val="00B83FAD"/>
    <w:rsid w:val="00B856FC"/>
    <w:rsid w:val="00B87221"/>
    <w:rsid w:val="00B87BC2"/>
    <w:rsid w:val="00B90BD9"/>
    <w:rsid w:val="00B92A3A"/>
    <w:rsid w:val="00B953C5"/>
    <w:rsid w:val="00B95538"/>
    <w:rsid w:val="00B95A4D"/>
    <w:rsid w:val="00B97022"/>
    <w:rsid w:val="00B973F9"/>
    <w:rsid w:val="00BA0070"/>
    <w:rsid w:val="00BA04DA"/>
    <w:rsid w:val="00BA0F96"/>
    <w:rsid w:val="00BA1B1A"/>
    <w:rsid w:val="00BA38FD"/>
    <w:rsid w:val="00BB24AA"/>
    <w:rsid w:val="00BB3BA7"/>
    <w:rsid w:val="00BB5CE6"/>
    <w:rsid w:val="00BB687B"/>
    <w:rsid w:val="00BC1926"/>
    <w:rsid w:val="00BC1F47"/>
    <w:rsid w:val="00BC3CD6"/>
    <w:rsid w:val="00BC6F81"/>
    <w:rsid w:val="00BC7592"/>
    <w:rsid w:val="00BD44AD"/>
    <w:rsid w:val="00BD605B"/>
    <w:rsid w:val="00BE1D59"/>
    <w:rsid w:val="00BE48AD"/>
    <w:rsid w:val="00BE5222"/>
    <w:rsid w:val="00BE5FFF"/>
    <w:rsid w:val="00BE630C"/>
    <w:rsid w:val="00BF27AD"/>
    <w:rsid w:val="00BF2958"/>
    <w:rsid w:val="00C0026D"/>
    <w:rsid w:val="00C02034"/>
    <w:rsid w:val="00C06E52"/>
    <w:rsid w:val="00C076A9"/>
    <w:rsid w:val="00C076F2"/>
    <w:rsid w:val="00C106A8"/>
    <w:rsid w:val="00C12F98"/>
    <w:rsid w:val="00C13BC1"/>
    <w:rsid w:val="00C16EB0"/>
    <w:rsid w:val="00C172F3"/>
    <w:rsid w:val="00C17C32"/>
    <w:rsid w:val="00C2073D"/>
    <w:rsid w:val="00C20982"/>
    <w:rsid w:val="00C22157"/>
    <w:rsid w:val="00C22AAB"/>
    <w:rsid w:val="00C23299"/>
    <w:rsid w:val="00C2329C"/>
    <w:rsid w:val="00C23763"/>
    <w:rsid w:val="00C26659"/>
    <w:rsid w:val="00C319CE"/>
    <w:rsid w:val="00C336AF"/>
    <w:rsid w:val="00C33B80"/>
    <w:rsid w:val="00C33D35"/>
    <w:rsid w:val="00C34287"/>
    <w:rsid w:val="00C34DFC"/>
    <w:rsid w:val="00C35924"/>
    <w:rsid w:val="00C432F7"/>
    <w:rsid w:val="00C43E97"/>
    <w:rsid w:val="00C441D0"/>
    <w:rsid w:val="00C4579C"/>
    <w:rsid w:val="00C463EC"/>
    <w:rsid w:val="00C46A85"/>
    <w:rsid w:val="00C476B1"/>
    <w:rsid w:val="00C476F4"/>
    <w:rsid w:val="00C55094"/>
    <w:rsid w:val="00C551CE"/>
    <w:rsid w:val="00C553E0"/>
    <w:rsid w:val="00C556B5"/>
    <w:rsid w:val="00C567CD"/>
    <w:rsid w:val="00C617BD"/>
    <w:rsid w:val="00C63EA6"/>
    <w:rsid w:val="00C6417A"/>
    <w:rsid w:val="00C721C3"/>
    <w:rsid w:val="00C74089"/>
    <w:rsid w:val="00C741C7"/>
    <w:rsid w:val="00C75B4B"/>
    <w:rsid w:val="00C763DC"/>
    <w:rsid w:val="00C7756B"/>
    <w:rsid w:val="00C77D03"/>
    <w:rsid w:val="00C80290"/>
    <w:rsid w:val="00C82AEC"/>
    <w:rsid w:val="00C84903"/>
    <w:rsid w:val="00C8594E"/>
    <w:rsid w:val="00C870DF"/>
    <w:rsid w:val="00C9323F"/>
    <w:rsid w:val="00C942D2"/>
    <w:rsid w:val="00C947C8"/>
    <w:rsid w:val="00C95C6C"/>
    <w:rsid w:val="00CA1901"/>
    <w:rsid w:val="00CA2A90"/>
    <w:rsid w:val="00CA4333"/>
    <w:rsid w:val="00CA59D2"/>
    <w:rsid w:val="00CB15B8"/>
    <w:rsid w:val="00CB2612"/>
    <w:rsid w:val="00CB3641"/>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D7EB1"/>
    <w:rsid w:val="00CE0992"/>
    <w:rsid w:val="00CE1E91"/>
    <w:rsid w:val="00CE1EF1"/>
    <w:rsid w:val="00CE22E2"/>
    <w:rsid w:val="00CE31B8"/>
    <w:rsid w:val="00CE3250"/>
    <w:rsid w:val="00CE42BC"/>
    <w:rsid w:val="00CE5DCA"/>
    <w:rsid w:val="00CE69F7"/>
    <w:rsid w:val="00CE6CF2"/>
    <w:rsid w:val="00CF358C"/>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49D5"/>
    <w:rsid w:val="00D456EA"/>
    <w:rsid w:val="00D46617"/>
    <w:rsid w:val="00D52195"/>
    <w:rsid w:val="00D55F5C"/>
    <w:rsid w:val="00D61D2E"/>
    <w:rsid w:val="00D624C9"/>
    <w:rsid w:val="00D6353B"/>
    <w:rsid w:val="00D63FE6"/>
    <w:rsid w:val="00D6703E"/>
    <w:rsid w:val="00D70AF0"/>
    <w:rsid w:val="00D71B15"/>
    <w:rsid w:val="00D741C7"/>
    <w:rsid w:val="00D75678"/>
    <w:rsid w:val="00D808B7"/>
    <w:rsid w:val="00D80ED7"/>
    <w:rsid w:val="00D815FA"/>
    <w:rsid w:val="00D817A6"/>
    <w:rsid w:val="00D83E52"/>
    <w:rsid w:val="00D85408"/>
    <w:rsid w:val="00D8666B"/>
    <w:rsid w:val="00D86FB0"/>
    <w:rsid w:val="00D87082"/>
    <w:rsid w:val="00D92122"/>
    <w:rsid w:val="00D92E75"/>
    <w:rsid w:val="00D9310F"/>
    <w:rsid w:val="00D952E7"/>
    <w:rsid w:val="00D95558"/>
    <w:rsid w:val="00D955BB"/>
    <w:rsid w:val="00D9617D"/>
    <w:rsid w:val="00D971C5"/>
    <w:rsid w:val="00D97FF5"/>
    <w:rsid w:val="00DA3F61"/>
    <w:rsid w:val="00DA62B0"/>
    <w:rsid w:val="00DB25D6"/>
    <w:rsid w:val="00DB3859"/>
    <w:rsid w:val="00DB5E03"/>
    <w:rsid w:val="00DB6079"/>
    <w:rsid w:val="00DB6370"/>
    <w:rsid w:val="00DB66D9"/>
    <w:rsid w:val="00DB73D0"/>
    <w:rsid w:val="00DB7874"/>
    <w:rsid w:val="00DC0AF9"/>
    <w:rsid w:val="00DC1200"/>
    <w:rsid w:val="00DC6669"/>
    <w:rsid w:val="00DC6CE0"/>
    <w:rsid w:val="00DD14FF"/>
    <w:rsid w:val="00DD5008"/>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08F1"/>
    <w:rsid w:val="00E229AC"/>
    <w:rsid w:val="00E230A0"/>
    <w:rsid w:val="00E23939"/>
    <w:rsid w:val="00E31CE6"/>
    <w:rsid w:val="00E33E89"/>
    <w:rsid w:val="00E36674"/>
    <w:rsid w:val="00E3699F"/>
    <w:rsid w:val="00E404B6"/>
    <w:rsid w:val="00E415AD"/>
    <w:rsid w:val="00E42E61"/>
    <w:rsid w:val="00E456D8"/>
    <w:rsid w:val="00E51896"/>
    <w:rsid w:val="00E55AE9"/>
    <w:rsid w:val="00E56641"/>
    <w:rsid w:val="00E56BFD"/>
    <w:rsid w:val="00E57B33"/>
    <w:rsid w:val="00E608CF"/>
    <w:rsid w:val="00E623FC"/>
    <w:rsid w:val="00E63278"/>
    <w:rsid w:val="00E64A97"/>
    <w:rsid w:val="00E6670F"/>
    <w:rsid w:val="00E66F64"/>
    <w:rsid w:val="00E67459"/>
    <w:rsid w:val="00E711EA"/>
    <w:rsid w:val="00E755BC"/>
    <w:rsid w:val="00E76444"/>
    <w:rsid w:val="00E7697F"/>
    <w:rsid w:val="00E779A8"/>
    <w:rsid w:val="00E80720"/>
    <w:rsid w:val="00E85B17"/>
    <w:rsid w:val="00E86370"/>
    <w:rsid w:val="00E86A1A"/>
    <w:rsid w:val="00E86D91"/>
    <w:rsid w:val="00E87BA9"/>
    <w:rsid w:val="00E90350"/>
    <w:rsid w:val="00E9082C"/>
    <w:rsid w:val="00E91B54"/>
    <w:rsid w:val="00E91DF3"/>
    <w:rsid w:val="00E922AB"/>
    <w:rsid w:val="00E94CE1"/>
    <w:rsid w:val="00E96043"/>
    <w:rsid w:val="00E9700F"/>
    <w:rsid w:val="00E97CB9"/>
    <w:rsid w:val="00EA031B"/>
    <w:rsid w:val="00EA12D0"/>
    <w:rsid w:val="00EA212A"/>
    <w:rsid w:val="00EA2BBC"/>
    <w:rsid w:val="00EA3297"/>
    <w:rsid w:val="00EA3BAC"/>
    <w:rsid w:val="00EB19B1"/>
    <w:rsid w:val="00EB2CC4"/>
    <w:rsid w:val="00EB3EF4"/>
    <w:rsid w:val="00EB4330"/>
    <w:rsid w:val="00EB4649"/>
    <w:rsid w:val="00EB62E5"/>
    <w:rsid w:val="00EC25EB"/>
    <w:rsid w:val="00EC3404"/>
    <w:rsid w:val="00EC4DB8"/>
    <w:rsid w:val="00EC735A"/>
    <w:rsid w:val="00ED079C"/>
    <w:rsid w:val="00ED117C"/>
    <w:rsid w:val="00ED2AB1"/>
    <w:rsid w:val="00ED2ACA"/>
    <w:rsid w:val="00ED38E1"/>
    <w:rsid w:val="00ED428A"/>
    <w:rsid w:val="00ED7BF8"/>
    <w:rsid w:val="00EE12FD"/>
    <w:rsid w:val="00EE2931"/>
    <w:rsid w:val="00EE2BD7"/>
    <w:rsid w:val="00EE321B"/>
    <w:rsid w:val="00EE4034"/>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26A56"/>
    <w:rsid w:val="00F30326"/>
    <w:rsid w:val="00F30A37"/>
    <w:rsid w:val="00F32C41"/>
    <w:rsid w:val="00F331EF"/>
    <w:rsid w:val="00F33C7C"/>
    <w:rsid w:val="00F4220A"/>
    <w:rsid w:val="00F4362C"/>
    <w:rsid w:val="00F43633"/>
    <w:rsid w:val="00F437C5"/>
    <w:rsid w:val="00F46CB4"/>
    <w:rsid w:val="00F47602"/>
    <w:rsid w:val="00F518B4"/>
    <w:rsid w:val="00F52EF5"/>
    <w:rsid w:val="00F52F78"/>
    <w:rsid w:val="00F5418E"/>
    <w:rsid w:val="00F546B2"/>
    <w:rsid w:val="00F55671"/>
    <w:rsid w:val="00F5581E"/>
    <w:rsid w:val="00F579FA"/>
    <w:rsid w:val="00F61CC2"/>
    <w:rsid w:val="00F65E70"/>
    <w:rsid w:val="00F66FEE"/>
    <w:rsid w:val="00F67B71"/>
    <w:rsid w:val="00F72096"/>
    <w:rsid w:val="00F76F70"/>
    <w:rsid w:val="00F77088"/>
    <w:rsid w:val="00F80227"/>
    <w:rsid w:val="00F8293D"/>
    <w:rsid w:val="00F83189"/>
    <w:rsid w:val="00F83A44"/>
    <w:rsid w:val="00F84AD9"/>
    <w:rsid w:val="00F854AA"/>
    <w:rsid w:val="00F86053"/>
    <w:rsid w:val="00F861FA"/>
    <w:rsid w:val="00F9043D"/>
    <w:rsid w:val="00F90741"/>
    <w:rsid w:val="00F930EB"/>
    <w:rsid w:val="00F96A5A"/>
    <w:rsid w:val="00F97857"/>
    <w:rsid w:val="00F97B98"/>
    <w:rsid w:val="00FA2A45"/>
    <w:rsid w:val="00FA3ABE"/>
    <w:rsid w:val="00FA5AAB"/>
    <w:rsid w:val="00FA75DC"/>
    <w:rsid w:val="00FB0B2B"/>
    <w:rsid w:val="00FB33FA"/>
    <w:rsid w:val="00FC0304"/>
    <w:rsid w:val="00FC235E"/>
    <w:rsid w:val="00FC35B4"/>
    <w:rsid w:val="00FD5C76"/>
    <w:rsid w:val="00FE0359"/>
    <w:rsid w:val="00FE1836"/>
    <w:rsid w:val="00FE1F7F"/>
    <w:rsid w:val="00FE584D"/>
    <w:rsid w:val="00FE7E42"/>
    <w:rsid w:val="00FF27BA"/>
    <w:rsid w:val="00FF2A24"/>
    <w:rsid w:val="00FF38C0"/>
    <w:rsid w:val="00FF588E"/>
    <w:rsid w:val="00FF7C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NO">
    <w:name w:val="NO"/>
    <w:basedOn w:val="Normal"/>
    <w:link w:val="NOZchn"/>
    <w:rsid w:val="003966D0"/>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3966D0"/>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6290BD8-8DBB-4E63-AEA2-DFB8CE7E4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182996B9-4FF7-4FA5-9F51-2F1CC9C5AD0B}">
  <ds:schemaRefs>
    <ds:schemaRef ds:uri="http://schemas.microsoft.com/office/infopath/2007/PartnerControl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e32f50e1-6846-4d7d-ad60-ccd6877e6c5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2643</TotalTime>
  <Pages>1</Pages>
  <Words>3582</Words>
  <Characters>20418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477</cp:revision>
  <dcterms:created xsi:type="dcterms:W3CDTF">2022-02-10T15:51:00Z</dcterms:created>
  <dcterms:modified xsi:type="dcterms:W3CDTF">2023-04-06T19:25:00Z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